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442FB" w14:textId="77777777" w:rsidR="00B862E5" w:rsidRPr="008D26B7" w:rsidRDefault="00836A4A" w:rsidP="00E649FE">
      <w:pPr>
        <w:pStyle w:val="ListParagraph"/>
        <w:numPr>
          <w:ilvl w:val="0"/>
          <w:numId w:val="22"/>
        </w:numPr>
        <w:spacing w:after="2" w:line="276" w:lineRule="auto"/>
        <w:jc w:val="both"/>
        <w:rPr>
          <w:rFonts w:ascii="Baskerville" w:hAnsi="Baskerville" w:cs="Baskerville"/>
          <w:color w:val="231F20"/>
          <w:szCs w:val="20"/>
        </w:rPr>
      </w:pPr>
      <w:r w:rsidRPr="008D26B7">
        <w:rPr>
          <w:rFonts w:ascii="Baskerville" w:hAnsi="Baskerville" w:cs="Baskerville"/>
          <w:color w:val="231F20"/>
          <w:szCs w:val="20"/>
        </w:rPr>
        <w:t>Introduction</w:t>
      </w:r>
    </w:p>
    <w:p w14:paraId="0D2A86D5" w14:textId="65D0ABF4" w:rsidR="00B862E5" w:rsidRPr="008D26B7" w:rsidRDefault="00370922" w:rsidP="00E649FE">
      <w:pPr>
        <w:pStyle w:val="ListParagraph"/>
        <w:numPr>
          <w:ilvl w:val="1"/>
          <w:numId w:val="22"/>
        </w:numPr>
        <w:spacing w:after="2" w:line="276" w:lineRule="auto"/>
        <w:jc w:val="both"/>
        <w:rPr>
          <w:rFonts w:ascii="Baskerville" w:hAnsi="Baskerville" w:cs="Baskerville"/>
          <w:color w:val="231F20"/>
          <w:sz w:val="20"/>
          <w:szCs w:val="20"/>
        </w:rPr>
      </w:pPr>
      <w:r w:rsidRPr="008D26B7">
        <w:rPr>
          <w:rFonts w:ascii="Baskerville" w:hAnsi="Baskerville" w:cs="Baskerville"/>
          <w:sz w:val="20"/>
          <w:szCs w:val="20"/>
        </w:rPr>
        <w:t>The Seattle Pacific University Student Investment Fund (hereafter referred to as the “Fund”) was created to provide students of Seattle Pacific University (hereafter referred to as the “University”) an opportunity to gain “real world” investment management experience, and to provide the University with a return consistent with the level of risk assumed by the Fund and the skills and</w:t>
      </w:r>
      <w:r w:rsidR="005C7449">
        <w:rPr>
          <w:rFonts w:ascii="Baskerville" w:hAnsi="Baskerville" w:cs="Baskerville"/>
          <w:sz w:val="20"/>
          <w:szCs w:val="20"/>
        </w:rPr>
        <w:t xml:space="preserve"> experience of the students. This</w:t>
      </w:r>
      <w:r w:rsidRPr="008D26B7">
        <w:rPr>
          <w:rFonts w:ascii="Baskerville" w:hAnsi="Baskerville" w:cs="Baskerville"/>
          <w:sz w:val="20"/>
          <w:szCs w:val="20"/>
        </w:rPr>
        <w:t xml:space="preserve"> statement also incorporates accountability standards that will be used for monitoring the progress of the Fund’s investment program and for evaluating the contributions of students working on behalf of the University and its beneficiaries.</w:t>
      </w:r>
    </w:p>
    <w:p w14:paraId="33833F38" w14:textId="77777777" w:rsidR="00370922" w:rsidRPr="008D26B7" w:rsidRDefault="00370922" w:rsidP="00E649FE">
      <w:pPr>
        <w:pStyle w:val="ListParagraph"/>
        <w:spacing w:after="2" w:line="276" w:lineRule="auto"/>
        <w:jc w:val="both"/>
        <w:rPr>
          <w:rFonts w:ascii="Baskerville" w:hAnsi="Baskerville" w:cs="Baskerville"/>
          <w:sz w:val="20"/>
          <w:szCs w:val="20"/>
        </w:rPr>
      </w:pPr>
    </w:p>
    <w:p w14:paraId="4D1D16C4" w14:textId="77777777" w:rsidR="00033CA3" w:rsidRPr="008D26B7" w:rsidRDefault="00836A4A" w:rsidP="00E649FE">
      <w:pPr>
        <w:pStyle w:val="ListParagraph"/>
        <w:numPr>
          <w:ilvl w:val="0"/>
          <w:numId w:val="22"/>
        </w:numPr>
        <w:spacing w:after="2" w:line="276" w:lineRule="auto"/>
        <w:jc w:val="both"/>
        <w:rPr>
          <w:rFonts w:ascii="Baskerville" w:hAnsi="Baskerville" w:cs="Baskerville"/>
          <w:color w:val="231F20"/>
          <w:szCs w:val="20"/>
        </w:rPr>
      </w:pPr>
      <w:r w:rsidRPr="008D26B7">
        <w:rPr>
          <w:rFonts w:ascii="Baskerville" w:hAnsi="Baskerville" w:cs="Baskerville"/>
          <w:color w:val="231F20"/>
          <w:szCs w:val="20"/>
        </w:rPr>
        <w:t xml:space="preserve">Role of the </w:t>
      </w:r>
      <w:r w:rsidR="00764E79" w:rsidRPr="008D26B7">
        <w:rPr>
          <w:rFonts w:ascii="Baskerville" w:hAnsi="Baskerville" w:cs="Baskerville"/>
          <w:color w:val="231F20"/>
          <w:szCs w:val="20"/>
        </w:rPr>
        <w:t>Student Fund Managers</w:t>
      </w:r>
    </w:p>
    <w:p w14:paraId="6FFF4BB8" w14:textId="71A9B2A2" w:rsidR="00033CA3" w:rsidRPr="008D26B7" w:rsidRDefault="00370922" w:rsidP="00E649FE">
      <w:pPr>
        <w:pStyle w:val="ListParagraph"/>
        <w:numPr>
          <w:ilvl w:val="1"/>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The </w:t>
      </w:r>
      <w:r w:rsidR="00764E79" w:rsidRPr="008D26B7">
        <w:rPr>
          <w:rFonts w:ascii="Baskerville" w:hAnsi="Baskerville" w:cs="Baskerville"/>
          <w:color w:val="231F20"/>
          <w:sz w:val="20"/>
          <w:szCs w:val="20"/>
        </w:rPr>
        <w:t>Student Fund Managers</w:t>
      </w:r>
      <w:r w:rsidRPr="008D26B7">
        <w:rPr>
          <w:rFonts w:ascii="Baskerville" w:hAnsi="Baskerville" w:cs="Baskerville"/>
          <w:color w:val="231F20"/>
          <w:sz w:val="20"/>
          <w:szCs w:val="20"/>
        </w:rPr>
        <w:t xml:space="preserve"> (the “</w:t>
      </w:r>
      <w:r w:rsidR="00764E79" w:rsidRPr="008D26B7">
        <w:rPr>
          <w:rFonts w:ascii="Baskerville" w:hAnsi="Baskerville" w:cs="Baskerville"/>
          <w:color w:val="231F20"/>
          <w:sz w:val="20"/>
          <w:szCs w:val="20"/>
        </w:rPr>
        <w:t>Students</w:t>
      </w:r>
      <w:r w:rsidR="00CB4264" w:rsidRPr="008D26B7">
        <w:rPr>
          <w:rFonts w:ascii="Baskerville" w:hAnsi="Baskerville" w:cs="Baskerville"/>
          <w:color w:val="231F20"/>
          <w:sz w:val="20"/>
          <w:szCs w:val="20"/>
        </w:rPr>
        <w:t>”) are</w:t>
      </w:r>
      <w:r w:rsidRPr="008D26B7">
        <w:rPr>
          <w:rFonts w:ascii="Baskerville" w:hAnsi="Baskerville" w:cs="Baskerville"/>
          <w:color w:val="231F20"/>
          <w:sz w:val="20"/>
          <w:szCs w:val="20"/>
        </w:rPr>
        <w:t xml:space="preserve"> acting in a fiduciary capacity with respect to the </w:t>
      </w:r>
      <w:r w:rsidR="002676D1" w:rsidRPr="008D26B7">
        <w:rPr>
          <w:rFonts w:ascii="Baskerville" w:hAnsi="Baskerville" w:cs="Baskerville"/>
          <w:color w:val="231F20"/>
          <w:sz w:val="20"/>
          <w:szCs w:val="20"/>
        </w:rPr>
        <w:t>Fund</w:t>
      </w:r>
      <w:r w:rsidR="00CB4264" w:rsidRPr="008D26B7">
        <w:rPr>
          <w:rFonts w:ascii="Baskerville" w:hAnsi="Baskerville" w:cs="Baskerville"/>
          <w:color w:val="231F20"/>
          <w:sz w:val="20"/>
          <w:szCs w:val="20"/>
        </w:rPr>
        <w:t>, and are</w:t>
      </w:r>
      <w:r w:rsidR="00764E79" w:rsidRPr="008D26B7">
        <w:rPr>
          <w:rFonts w:ascii="Baskerville" w:hAnsi="Baskerville" w:cs="Baskerville"/>
          <w:color w:val="231F20"/>
          <w:sz w:val="20"/>
          <w:szCs w:val="20"/>
        </w:rPr>
        <w:t xml:space="preserve"> accountable to the </w:t>
      </w:r>
      <w:r w:rsidR="00BD4406">
        <w:rPr>
          <w:rFonts w:ascii="Baskerville" w:hAnsi="Baskerville" w:cs="Baskerville"/>
          <w:color w:val="231F20"/>
          <w:sz w:val="20"/>
          <w:szCs w:val="20"/>
        </w:rPr>
        <w:t>Board</w:t>
      </w:r>
      <w:r w:rsidR="00764E79" w:rsidRPr="008D26B7">
        <w:rPr>
          <w:rFonts w:ascii="Baskerville" w:hAnsi="Baskerville" w:cs="Baskerville"/>
          <w:color w:val="231F20"/>
          <w:sz w:val="20"/>
          <w:szCs w:val="20"/>
        </w:rPr>
        <w:t xml:space="preserve"> of </w:t>
      </w:r>
      <w:r w:rsidR="00BD4406">
        <w:rPr>
          <w:rFonts w:ascii="Baskerville" w:hAnsi="Baskerville" w:cs="Baskerville"/>
          <w:color w:val="231F20"/>
          <w:sz w:val="20"/>
          <w:szCs w:val="20"/>
        </w:rPr>
        <w:t>SPU Overseers (the “Overseers</w:t>
      </w:r>
      <w:r w:rsidR="00764E79" w:rsidRPr="008D26B7">
        <w:rPr>
          <w:rFonts w:ascii="Baskerville" w:hAnsi="Baskerville" w:cs="Baskerville"/>
          <w:color w:val="231F20"/>
          <w:sz w:val="20"/>
          <w:szCs w:val="20"/>
        </w:rPr>
        <w:t>”)</w:t>
      </w:r>
      <w:r w:rsidRPr="008D26B7">
        <w:rPr>
          <w:rFonts w:ascii="Baskerville" w:hAnsi="Baskerville" w:cs="Baskerville"/>
          <w:color w:val="231F20"/>
          <w:sz w:val="20"/>
          <w:szCs w:val="20"/>
        </w:rPr>
        <w:t xml:space="preserve"> for overseeing the investment of all assets owned by, or held in trust for, 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w:t>
      </w:r>
    </w:p>
    <w:p w14:paraId="3008CEFA" w14:textId="0AF6D81C" w:rsidR="00033CA3" w:rsidRPr="008D26B7" w:rsidRDefault="00033CA3" w:rsidP="00E649FE">
      <w:pPr>
        <w:pStyle w:val="ListParagraph"/>
        <w:numPr>
          <w:ilvl w:val="2"/>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 </w:t>
      </w:r>
      <w:r w:rsidR="00836A4A" w:rsidRPr="008D26B7">
        <w:rPr>
          <w:rFonts w:ascii="Baskerville" w:hAnsi="Baskerville" w:cs="Baskerville"/>
          <w:color w:val="231F20"/>
          <w:sz w:val="20"/>
          <w:szCs w:val="20"/>
        </w:rPr>
        <w:t>This Investment Policy Statement sets forth the investment objectives, distribution policies, and</w:t>
      </w:r>
      <w:r w:rsidR="00370922" w:rsidRPr="008D26B7">
        <w:rPr>
          <w:rFonts w:ascii="Baskerville" w:hAnsi="Baskerville" w:cs="Baskerville"/>
          <w:color w:val="231F20"/>
          <w:sz w:val="20"/>
          <w:szCs w:val="20"/>
        </w:rPr>
        <w:t xml:space="preserve"> </w:t>
      </w:r>
      <w:r w:rsidR="00836A4A" w:rsidRPr="008D26B7">
        <w:rPr>
          <w:rFonts w:ascii="Baskerville" w:hAnsi="Baskerville" w:cs="Baskerville"/>
          <w:color w:val="231F20"/>
          <w:sz w:val="20"/>
          <w:szCs w:val="20"/>
        </w:rPr>
        <w:t xml:space="preserve">investment guidelines that govern the activities of the </w:t>
      </w:r>
      <w:r w:rsidR="00764E79" w:rsidRPr="008D26B7">
        <w:rPr>
          <w:rFonts w:ascii="Baskerville" w:hAnsi="Baskerville" w:cs="Baskerville"/>
          <w:color w:val="231F20"/>
          <w:sz w:val="20"/>
          <w:szCs w:val="20"/>
        </w:rPr>
        <w:t>Students</w:t>
      </w:r>
      <w:r w:rsidR="000A22D3" w:rsidRPr="008D26B7">
        <w:rPr>
          <w:rFonts w:ascii="Baskerville" w:hAnsi="Baskerville" w:cs="Baskerville"/>
          <w:color w:val="231F20"/>
          <w:sz w:val="20"/>
          <w:szCs w:val="20"/>
        </w:rPr>
        <w:t>.</w:t>
      </w:r>
      <w:r w:rsidR="00836A4A" w:rsidRPr="008D26B7">
        <w:rPr>
          <w:rFonts w:ascii="Baskerville" w:hAnsi="Baskerville" w:cs="Baskerville"/>
          <w:color w:val="231F20"/>
          <w:sz w:val="20"/>
          <w:szCs w:val="20"/>
        </w:rPr>
        <w:t xml:space="preserve"> The investment policies for the Fund contained herein have been formulated</w:t>
      </w:r>
      <w:r w:rsidR="00CB4264" w:rsidRPr="008D26B7">
        <w:rPr>
          <w:rFonts w:ascii="Baskerville" w:hAnsi="Baskerville" w:cs="Baskerville"/>
          <w:color w:val="231F20"/>
          <w:sz w:val="20"/>
          <w:szCs w:val="20"/>
        </w:rPr>
        <w:t xml:space="preserve"> to be</w:t>
      </w:r>
      <w:r w:rsidR="00836A4A" w:rsidRPr="008D26B7">
        <w:rPr>
          <w:rFonts w:ascii="Baskerville" w:hAnsi="Baskerville" w:cs="Baskerville"/>
          <w:color w:val="231F20"/>
          <w:sz w:val="20"/>
          <w:szCs w:val="20"/>
        </w:rPr>
        <w:t xml:space="preserve"> consistent with</w:t>
      </w:r>
      <w:r w:rsidR="00370922" w:rsidRPr="008D26B7">
        <w:rPr>
          <w:rFonts w:ascii="Baskerville" w:hAnsi="Baskerville" w:cs="Baskerville"/>
          <w:color w:val="231F20"/>
          <w:sz w:val="20"/>
          <w:szCs w:val="20"/>
        </w:rPr>
        <w:t xml:space="preserve"> </w:t>
      </w:r>
      <w:r w:rsidR="00836A4A" w:rsidRPr="008D26B7">
        <w:rPr>
          <w:rFonts w:ascii="Baskerville" w:hAnsi="Baskerville" w:cs="Baskerville"/>
          <w:color w:val="231F20"/>
          <w:sz w:val="20"/>
          <w:szCs w:val="20"/>
        </w:rPr>
        <w:t xml:space="preserve">the </w:t>
      </w:r>
      <w:r w:rsidR="002676D1" w:rsidRPr="008D26B7">
        <w:rPr>
          <w:rFonts w:ascii="Baskerville" w:hAnsi="Baskerville" w:cs="Baskerville"/>
          <w:color w:val="231F20"/>
          <w:sz w:val="20"/>
          <w:szCs w:val="20"/>
        </w:rPr>
        <w:t>University</w:t>
      </w:r>
      <w:r w:rsidR="00836A4A" w:rsidRPr="008D26B7">
        <w:rPr>
          <w:rFonts w:ascii="Baskerville" w:hAnsi="Baskerville" w:cs="Baskerville"/>
          <w:color w:val="231F20"/>
          <w:sz w:val="20"/>
          <w:szCs w:val="20"/>
        </w:rPr>
        <w:t xml:space="preserve">’s anticipated financial needs and in consideration of the </w:t>
      </w:r>
      <w:r w:rsidR="002676D1" w:rsidRPr="008D26B7">
        <w:rPr>
          <w:rFonts w:ascii="Baskerville" w:hAnsi="Baskerville" w:cs="Baskerville"/>
          <w:color w:val="231F20"/>
          <w:sz w:val="20"/>
          <w:szCs w:val="20"/>
        </w:rPr>
        <w:t>University</w:t>
      </w:r>
      <w:r w:rsidR="00836A4A" w:rsidRPr="008D26B7">
        <w:rPr>
          <w:rFonts w:ascii="Baskerville" w:hAnsi="Baskerville" w:cs="Baskerville"/>
          <w:color w:val="231F20"/>
          <w:sz w:val="20"/>
          <w:szCs w:val="20"/>
        </w:rPr>
        <w:t>’s tolerance for</w:t>
      </w:r>
      <w:r w:rsidR="00370922" w:rsidRPr="008D26B7">
        <w:rPr>
          <w:rFonts w:ascii="Baskerville" w:hAnsi="Baskerville" w:cs="Baskerville"/>
          <w:color w:val="231F20"/>
          <w:sz w:val="20"/>
          <w:szCs w:val="20"/>
        </w:rPr>
        <w:t xml:space="preserve"> </w:t>
      </w:r>
      <w:r w:rsidR="00836A4A" w:rsidRPr="008D26B7">
        <w:rPr>
          <w:rFonts w:ascii="Baskerville" w:hAnsi="Baskerville" w:cs="Baskerville"/>
          <w:color w:val="231F20"/>
          <w:sz w:val="20"/>
          <w:szCs w:val="20"/>
        </w:rPr>
        <w:t xml:space="preserve">assuming investment and financial risk, as reflected in the majority opinion of the </w:t>
      </w:r>
      <w:r w:rsidR="00BD4406">
        <w:rPr>
          <w:rFonts w:ascii="Baskerville" w:hAnsi="Baskerville" w:cs="Baskerville"/>
          <w:color w:val="231F20"/>
          <w:sz w:val="20"/>
          <w:szCs w:val="20"/>
        </w:rPr>
        <w:t>Overseers</w:t>
      </w:r>
      <w:r w:rsidR="00836A4A" w:rsidRPr="008D26B7">
        <w:rPr>
          <w:rFonts w:ascii="Baskerville" w:hAnsi="Baskerville" w:cs="Baskerville"/>
          <w:color w:val="231F20"/>
          <w:sz w:val="20"/>
          <w:szCs w:val="20"/>
        </w:rPr>
        <w:t>.</w:t>
      </w:r>
      <w:r w:rsidR="00370922" w:rsidRPr="008D26B7">
        <w:rPr>
          <w:rFonts w:ascii="Baskerville" w:hAnsi="Baskerville" w:cs="Baskerville"/>
          <w:color w:val="231F20"/>
          <w:sz w:val="20"/>
          <w:szCs w:val="20"/>
        </w:rPr>
        <w:t xml:space="preserve"> </w:t>
      </w:r>
    </w:p>
    <w:p w14:paraId="5CF90D7B" w14:textId="1DFF700D" w:rsidR="00033CA3" w:rsidRPr="008D26B7" w:rsidRDefault="00370922" w:rsidP="00E649FE">
      <w:pPr>
        <w:pStyle w:val="ListParagraph"/>
        <w:numPr>
          <w:ilvl w:val="2"/>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Policies contained in this statement are intended to provide guidelines, where necessary, for</w:t>
      </w:r>
      <w:r w:rsidR="00033CA3"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 xml:space="preserve">ensuring that 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’s investments are managed </w:t>
      </w:r>
      <w:r w:rsidR="00CB4264" w:rsidRPr="008D26B7">
        <w:rPr>
          <w:rFonts w:ascii="Baskerville" w:hAnsi="Baskerville" w:cs="Baskerville"/>
          <w:color w:val="231F20"/>
          <w:sz w:val="20"/>
          <w:szCs w:val="20"/>
        </w:rPr>
        <w:t xml:space="preserve">to be </w:t>
      </w:r>
      <w:r w:rsidRPr="008D26B7">
        <w:rPr>
          <w:rFonts w:ascii="Baskerville" w:hAnsi="Baskerville" w:cs="Baskerville"/>
          <w:color w:val="231F20"/>
          <w:sz w:val="20"/>
          <w:szCs w:val="20"/>
        </w:rPr>
        <w:t>consistent with the short-term and long-</w:t>
      </w:r>
      <w:r w:rsidR="000A22D3" w:rsidRPr="008D26B7">
        <w:rPr>
          <w:rFonts w:ascii="Baskerville" w:hAnsi="Baskerville" w:cs="Baskerville"/>
          <w:color w:val="231F20"/>
          <w:sz w:val="20"/>
          <w:szCs w:val="20"/>
        </w:rPr>
        <w:t>term financial goals of the University</w:t>
      </w:r>
      <w:r w:rsidRPr="008D26B7">
        <w:rPr>
          <w:rFonts w:ascii="Baskerville" w:hAnsi="Baskerville" w:cs="Baskerville"/>
          <w:color w:val="231F20"/>
          <w:sz w:val="20"/>
          <w:szCs w:val="20"/>
        </w:rPr>
        <w:t xml:space="preserve">. At the same time, </w:t>
      </w:r>
      <w:r w:rsidR="00CB4264" w:rsidRPr="008D26B7">
        <w:rPr>
          <w:rFonts w:ascii="Baskerville" w:hAnsi="Baskerville" w:cs="Baskerville"/>
          <w:color w:val="231F20"/>
          <w:sz w:val="20"/>
          <w:szCs w:val="20"/>
        </w:rPr>
        <w:t>they are intended to provide</w:t>
      </w:r>
      <w:r w:rsidRPr="008D26B7">
        <w:rPr>
          <w:rFonts w:ascii="Baskerville" w:hAnsi="Baskerville" w:cs="Baskerville"/>
          <w:color w:val="231F20"/>
          <w:sz w:val="20"/>
          <w:szCs w:val="20"/>
        </w:rPr>
        <w:t xml:space="preserve"> sufficient</w:t>
      </w:r>
      <w:r w:rsidR="00033CA3"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 xml:space="preserve">investment flexibility in the face of changes in capital market conditions and in the financial circumstances of the </w:t>
      </w:r>
      <w:r w:rsidR="002676D1" w:rsidRPr="008D26B7">
        <w:rPr>
          <w:rFonts w:ascii="Baskerville" w:hAnsi="Baskerville" w:cs="Baskerville"/>
          <w:color w:val="231F20"/>
          <w:sz w:val="20"/>
          <w:szCs w:val="20"/>
        </w:rPr>
        <w:t>University</w:t>
      </w:r>
      <w:r w:rsidRPr="008D26B7">
        <w:rPr>
          <w:rFonts w:ascii="Baskerville" w:hAnsi="Baskerville" w:cs="Baskerville"/>
          <w:color w:val="231F20"/>
          <w:sz w:val="20"/>
          <w:szCs w:val="20"/>
        </w:rPr>
        <w:t>.</w:t>
      </w:r>
    </w:p>
    <w:p w14:paraId="59871E85" w14:textId="77777777" w:rsidR="00836A4A" w:rsidRPr="00D41E50" w:rsidRDefault="00836A4A" w:rsidP="00E649FE">
      <w:pPr>
        <w:pStyle w:val="ListParagraph"/>
        <w:numPr>
          <w:ilvl w:val="2"/>
          <w:numId w:val="22"/>
        </w:numPr>
        <w:spacing w:after="2" w:line="276" w:lineRule="auto"/>
        <w:jc w:val="both"/>
        <w:rPr>
          <w:rFonts w:ascii="Baskerville" w:hAnsi="Baskerville" w:cs="Baskerville"/>
          <w:color w:val="231F20"/>
          <w:sz w:val="20"/>
          <w:szCs w:val="20"/>
        </w:rPr>
      </w:pPr>
      <w:r w:rsidRPr="00D41E50">
        <w:rPr>
          <w:rFonts w:ascii="Baskerville" w:hAnsi="Baskerville" w:cs="Baskerville"/>
          <w:color w:val="231F20"/>
          <w:sz w:val="20"/>
          <w:szCs w:val="20"/>
        </w:rPr>
        <w:t xml:space="preserve">The </w:t>
      </w:r>
      <w:r w:rsidR="00764E79" w:rsidRPr="00D41E50">
        <w:rPr>
          <w:rFonts w:ascii="Baskerville" w:hAnsi="Baskerville" w:cs="Baskerville"/>
          <w:color w:val="231F20"/>
          <w:sz w:val="20"/>
          <w:szCs w:val="20"/>
        </w:rPr>
        <w:t>Students</w:t>
      </w:r>
      <w:r w:rsidRPr="00D41E50">
        <w:rPr>
          <w:rFonts w:ascii="Baskerville" w:hAnsi="Baskerville" w:cs="Baskerville"/>
          <w:color w:val="231F20"/>
          <w:sz w:val="20"/>
          <w:szCs w:val="20"/>
        </w:rPr>
        <w:t xml:space="preserve"> will review this Investment Policy Statement at least once per year. Changes to</w:t>
      </w:r>
      <w:r w:rsidR="00033CA3" w:rsidRPr="00D41E50">
        <w:rPr>
          <w:rFonts w:ascii="Baskerville" w:hAnsi="Baskerville" w:cs="Baskerville"/>
          <w:color w:val="231F20"/>
          <w:sz w:val="20"/>
          <w:szCs w:val="20"/>
        </w:rPr>
        <w:t xml:space="preserve"> </w:t>
      </w:r>
      <w:r w:rsidRPr="00D41E50">
        <w:rPr>
          <w:rFonts w:ascii="Baskerville" w:hAnsi="Baskerville" w:cs="Baskerville"/>
          <w:color w:val="231F20"/>
          <w:sz w:val="20"/>
          <w:szCs w:val="20"/>
        </w:rPr>
        <w:t xml:space="preserve">this Investment Policy Statement can be made only by affirmation of a majority of the </w:t>
      </w:r>
      <w:r w:rsidR="00764E79" w:rsidRPr="00D41E50">
        <w:rPr>
          <w:rFonts w:ascii="Baskerville" w:hAnsi="Baskerville" w:cs="Baskerville"/>
          <w:color w:val="231F20"/>
          <w:sz w:val="20"/>
          <w:szCs w:val="20"/>
        </w:rPr>
        <w:t>Students</w:t>
      </w:r>
      <w:r w:rsidRPr="00D41E50">
        <w:rPr>
          <w:rFonts w:ascii="Baskerville" w:hAnsi="Baskerville" w:cs="Baskerville"/>
          <w:color w:val="231F20"/>
          <w:sz w:val="20"/>
          <w:szCs w:val="20"/>
        </w:rPr>
        <w:t>,</w:t>
      </w:r>
      <w:r w:rsidR="00033CA3" w:rsidRPr="00D41E50">
        <w:rPr>
          <w:rFonts w:ascii="Baskerville" w:hAnsi="Baskerville" w:cs="Baskerville"/>
          <w:color w:val="231F20"/>
          <w:sz w:val="20"/>
          <w:szCs w:val="20"/>
        </w:rPr>
        <w:t xml:space="preserve"> </w:t>
      </w:r>
      <w:r w:rsidRPr="00D41E50">
        <w:rPr>
          <w:rFonts w:ascii="Baskerville" w:hAnsi="Baskerville" w:cs="Baskerville"/>
          <w:color w:val="231F20"/>
          <w:sz w:val="20"/>
          <w:szCs w:val="20"/>
        </w:rPr>
        <w:t xml:space="preserve">and written confirmation of the changes will be provided to all </w:t>
      </w:r>
      <w:r w:rsidR="00764E79" w:rsidRPr="00D41E50">
        <w:rPr>
          <w:rFonts w:ascii="Baskerville" w:hAnsi="Baskerville" w:cs="Baskerville"/>
          <w:color w:val="231F20"/>
          <w:sz w:val="20"/>
          <w:szCs w:val="20"/>
        </w:rPr>
        <w:t>Students</w:t>
      </w:r>
      <w:r w:rsidRPr="00D41E50">
        <w:rPr>
          <w:rFonts w:ascii="Baskerville" w:hAnsi="Baskerville" w:cs="Baskerville"/>
          <w:color w:val="231F20"/>
          <w:sz w:val="20"/>
          <w:szCs w:val="20"/>
        </w:rPr>
        <w:t xml:space="preserve"> members and to any</w:t>
      </w:r>
      <w:r w:rsidR="00033CA3" w:rsidRPr="00D41E50">
        <w:rPr>
          <w:rFonts w:ascii="Baskerville" w:hAnsi="Baskerville" w:cs="Baskerville"/>
          <w:color w:val="231F20"/>
          <w:sz w:val="20"/>
          <w:szCs w:val="20"/>
        </w:rPr>
        <w:t xml:space="preserve"> </w:t>
      </w:r>
      <w:r w:rsidRPr="00D41E50">
        <w:rPr>
          <w:rFonts w:ascii="Baskerville" w:hAnsi="Baskerville" w:cs="Baskerville"/>
          <w:color w:val="231F20"/>
          <w:sz w:val="20"/>
          <w:szCs w:val="20"/>
        </w:rPr>
        <w:t xml:space="preserve">other parties hired on behalf of the </w:t>
      </w:r>
      <w:r w:rsidR="002676D1" w:rsidRPr="00D41E50">
        <w:rPr>
          <w:rFonts w:ascii="Baskerville" w:hAnsi="Baskerville" w:cs="Baskerville"/>
          <w:color w:val="231F20"/>
          <w:sz w:val="20"/>
          <w:szCs w:val="20"/>
        </w:rPr>
        <w:t>Fund</w:t>
      </w:r>
      <w:r w:rsidRPr="00D41E50">
        <w:rPr>
          <w:rFonts w:ascii="Baskerville" w:hAnsi="Baskerville" w:cs="Baskerville"/>
          <w:color w:val="231F20"/>
          <w:sz w:val="20"/>
          <w:szCs w:val="20"/>
        </w:rPr>
        <w:t xml:space="preserve"> as soon thereafter as is practical.</w:t>
      </w:r>
    </w:p>
    <w:p w14:paraId="2FAAB14E" w14:textId="77777777" w:rsidR="00836A4A" w:rsidRPr="008D26B7" w:rsidRDefault="00836A4A" w:rsidP="00E649FE">
      <w:pPr>
        <w:spacing w:after="2" w:line="276" w:lineRule="auto"/>
        <w:jc w:val="both"/>
        <w:rPr>
          <w:rFonts w:ascii="Baskerville" w:hAnsi="Baskerville" w:cs="Baskerville"/>
          <w:color w:val="231F20"/>
          <w:sz w:val="20"/>
          <w:szCs w:val="20"/>
        </w:rPr>
      </w:pPr>
    </w:p>
    <w:p w14:paraId="4260C0C6" w14:textId="77777777" w:rsidR="00033CA3" w:rsidRPr="008D26B7" w:rsidRDefault="00836A4A" w:rsidP="00E649FE">
      <w:pPr>
        <w:pStyle w:val="ListParagraph"/>
        <w:numPr>
          <w:ilvl w:val="0"/>
          <w:numId w:val="22"/>
        </w:numPr>
        <w:spacing w:after="2" w:line="276" w:lineRule="auto"/>
        <w:jc w:val="both"/>
        <w:rPr>
          <w:rFonts w:ascii="Baskerville" w:hAnsi="Baskerville" w:cs="Baskerville"/>
          <w:color w:val="231F20"/>
          <w:szCs w:val="20"/>
        </w:rPr>
      </w:pPr>
      <w:r w:rsidRPr="008D26B7">
        <w:rPr>
          <w:rFonts w:ascii="Baskerville" w:hAnsi="Baskerville" w:cs="Baskerville"/>
          <w:color w:val="231F20"/>
          <w:szCs w:val="20"/>
        </w:rPr>
        <w:t>Investment objective and spending policy</w:t>
      </w:r>
    </w:p>
    <w:p w14:paraId="14D031B1" w14:textId="77777777" w:rsidR="00033CA3" w:rsidRPr="008D26B7" w:rsidRDefault="00836A4A" w:rsidP="00E649FE">
      <w:pPr>
        <w:pStyle w:val="ListParagraph"/>
        <w:numPr>
          <w:ilvl w:val="1"/>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The Fund is to be invested with the objective of preserving the long-term</w:t>
      </w:r>
      <w:r w:rsidR="00764E79" w:rsidRPr="008D26B7">
        <w:rPr>
          <w:rFonts w:ascii="Baskerville" w:hAnsi="Baskerville" w:cs="Baskerville"/>
          <w:color w:val="231F20"/>
          <w:sz w:val="20"/>
          <w:szCs w:val="20"/>
        </w:rPr>
        <w:t xml:space="preserve"> real value of the assets while also earning a return consistent with the level of risk assumed by the Fund.</w:t>
      </w:r>
    </w:p>
    <w:p w14:paraId="120F0AE7" w14:textId="29EBCD3A" w:rsidR="00033CA3" w:rsidRPr="008D26B7" w:rsidRDefault="008154F0" w:rsidP="00E649FE">
      <w:pPr>
        <w:pStyle w:val="ListParagraph"/>
        <w:numPr>
          <w:ilvl w:val="1"/>
          <w:numId w:val="22"/>
        </w:numPr>
        <w:spacing w:after="2" w:line="276" w:lineRule="auto"/>
        <w:jc w:val="both"/>
        <w:rPr>
          <w:rFonts w:ascii="Baskerville" w:hAnsi="Baskerville" w:cs="Baskerville"/>
          <w:color w:val="231F20"/>
          <w:sz w:val="20"/>
          <w:szCs w:val="20"/>
        </w:rPr>
      </w:pPr>
      <w:r>
        <w:rPr>
          <w:rFonts w:ascii="Baskerville" w:hAnsi="Baskerville" w:cs="Baskerville"/>
          <w:color w:val="231F20"/>
          <w:sz w:val="20"/>
          <w:szCs w:val="20"/>
        </w:rPr>
        <w:t>In partnership with the School of Business and Economics (SBE), the Fund will set its operating expenses to be consistent with the level of operating funding provided by the SBE.</w:t>
      </w:r>
    </w:p>
    <w:p w14:paraId="6621EADA" w14:textId="731B8026" w:rsidR="00033CA3" w:rsidRPr="008D26B7" w:rsidRDefault="00852596" w:rsidP="00E649FE">
      <w:pPr>
        <w:pStyle w:val="ListParagraph"/>
        <w:numPr>
          <w:ilvl w:val="1"/>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The distribution of Fund assets for the purpose of meeting operational expense requirements shall only be allowed by the pre-approval of the </w:t>
      </w:r>
      <w:r w:rsidR="00BD4406">
        <w:rPr>
          <w:rFonts w:ascii="Baskerville" w:hAnsi="Baskerville" w:cs="Baskerville"/>
          <w:color w:val="231F20"/>
          <w:sz w:val="20"/>
          <w:szCs w:val="20"/>
        </w:rPr>
        <w:t>Overseers</w:t>
      </w:r>
      <w:r w:rsidR="00133CC6" w:rsidRPr="008D26B7">
        <w:rPr>
          <w:rFonts w:ascii="Baskerville" w:hAnsi="Baskerville" w:cs="Baskerville"/>
          <w:color w:val="231F20"/>
          <w:sz w:val="20"/>
          <w:szCs w:val="20"/>
        </w:rPr>
        <w:t>.</w:t>
      </w:r>
    </w:p>
    <w:p w14:paraId="3E3B8A1B" w14:textId="77777777" w:rsidR="00A537B0" w:rsidRPr="008D26B7" w:rsidRDefault="00836A4A" w:rsidP="00E649FE">
      <w:pPr>
        <w:pStyle w:val="ListParagraph"/>
        <w:numPr>
          <w:ilvl w:val="1"/>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Periodic cash flow, either into or out of 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 will </w:t>
      </w:r>
      <w:r w:rsidR="00852596" w:rsidRPr="008D26B7">
        <w:rPr>
          <w:rFonts w:ascii="Baskerville" w:hAnsi="Baskerville" w:cs="Baskerville"/>
          <w:color w:val="231F20"/>
          <w:sz w:val="20"/>
          <w:szCs w:val="20"/>
        </w:rPr>
        <w:t xml:space="preserve">also </w:t>
      </w:r>
      <w:r w:rsidRPr="008D26B7">
        <w:rPr>
          <w:rFonts w:ascii="Baskerville" w:hAnsi="Baskerville" w:cs="Baskerville"/>
          <w:color w:val="231F20"/>
          <w:sz w:val="20"/>
          <w:szCs w:val="20"/>
        </w:rPr>
        <w:t xml:space="preserve">be used to better align the investment portfolio to the target asset allocation outlined in the asset allocation policy at Section IV. A. </w:t>
      </w:r>
      <w:proofErr w:type="gramStart"/>
      <w:r w:rsidRPr="008D26B7">
        <w:rPr>
          <w:rFonts w:ascii="Baskerville" w:hAnsi="Baskerville" w:cs="Baskerville"/>
          <w:color w:val="231F20"/>
          <w:sz w:val="20"/>
          <w:szCs w:val="20"/>
        </w:rPr>
        <w:t>here</w:t>
      </w:r>
      <w:proofErr w:type="gramEnd"/>
      <w:r w:rsidR="005457E0" w:rsidRPr="008D26B7">
        <w:rPr>
          <w:rFonts w:ascii="Baskerville" w:hAnsi="Baskerville" w:cs="Baskerville"/>
          <w:color w:val="231F20"/>
          <w:sz w:val="20"/>
          <w:szCs w:val="20"/>
        </w:rPr>
        <w:t>-</w:t>
      </w:r>
      <w:r w:rsidRPr="008D26B7">
        <w:rPr>
          <w:rFonts w:ascii="Baskerville" w:hAnsi="Baskerville" w:cs="Baskerville"/>
          <w:color w:val="231F20"/>
          <w:sz w:val="20"/>
          <w:szCs w:val="20"/>
        </w:rPr>
        <w:t>in.</w:t>
      </w:r>
    </w:p>
    <w:p w14:paraId="0D2E10A4" w14:textId="77777777" w:rsidR="00E613CB" w:rsidRPr="008D26B7" w:rsidRDefault="00E613CB" w:rsidP="00E649FE">
      <w:pPr>
        <w:pStyle w:val="ListParagraph"/>
        <w:spacing w:after="2" w:line="276" w:lineRule="auto"/>
        <w:ind w:left="1440"/>
        <w:jc w:val="both"/>
        <w:rPr>
          <w:rFonts w:ascii="Baskerville" w:hAnsi="Baskerville" w:cs="Baskerville"/>
          <w:color w:val="231F20"/>
          <w:sz w:val="20"/>
          <w:szCs w:val="20"/>
        </w:rPr>
      </w:pPr>
    </w:p>
    <w:p w14:paraId="3B412D75" w14:textId="77777777" w:rsidR="00033CA3" w:rsidRPr="008D26B7" w:rsidRDefault="002676D1" w:rsidP="00E649FE">
      <w:pPr>
        <w:pStyle w:val="ListParagraph"/>
        <w:numPr>
          <w:ilvl w:val="0"/>
          <w:numId w:val="22"/>
        </w:numPr>
        <w:spacing w:after="2" w:line="276" w:lineRule="auto"/>
        <w:jc w:val="both"/>
        <w:rPr>
          <w:rFonts w:ascii="Baskerville" w:hAnsi="Baskerville" w:cs="Baskerville"/>
          <w:color w:val="231F20"/>
          <w:szCs w:val="20"/>
        </w:rPr>
      </w:pPr>
      <w:r w:rsidRPr="008D26B7">
        <w:rPr>
          <w:rFonts w:ascii="Baskerville" w:hAnsi="Baskerville" w:cs="Baskerville"/>
          <w:color w:val="231F20"/>
          <w:szCs w:val="20"/>
        </w:rPr>
        <w:t>Fund</w:t>
      </w:r>
      <w:r w:rsidR="00836A4A" w:rsidRPr="008D26B7">
        <w:rPr>
          <w:rFonts w:ascii="Baskerville" w:hAnsi="Baskerville" w:cs="Baskerville"/>
          <w:color w:val="231F20"/>
          <w:szCs w:val="20"/>
        </w:rPr>
        <w:t xml:space="preserve"> investment policies</w:t>
      </w:r>
    </w:p>
    <w:p w14:paraId="4E79BF17" w14:textId="77777777" w:rsidR="00033CA3" w:rsidRPr="008D26B7" w:rsidRDefault="00852596" w:rsidP="00E649FE">
      <w:pPr>
        <w:pStyle w:val="ListParagraph"/>
        <w:numPr>
          <w:ilvl w:val="1"/>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Asset Allocation P</w:t>
      </w:r>
      <w:r w:rsidR="00836A4A" w:rsidRPr="008D26B7">
        <w:rPr>
          <w:rFonts w:ascii="Baskerville" w:hAnsi="Baskerville" w:cs="Baskerville"/>
          <w:color w:val="231F20"/>
          <w:sz w:val="20"/>
          <w:szCs w:val="20"/>
        </w:rPr>
        <w:t>olicy</w:t>
      </w:r>
    </w:p>
    <w:p w14:paraId="2FA4AA2D" w14:textId="35E56FB4" w:rsidR="00033CA3" w:rsidRDefault="00836A4A" w:rsidP="00E649FE">
      <w:pPr>
        <w:pStyle w:val="ListParagraph"/>
        <w:numPr>
          <w:ilvl w:val="2"/>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The </w:t>
      </w:r>
      <w:r w:rsidR="00764E79" w:rsidRPr="008D26B7">
        <w:rPr>
          <w:rFonts w:ascii="Baskerville" w:hAnsi="Baskerville" w:cs="Baskerville"/>
          <w:color w:val="231F20"/>
          <w:sz w:val="20"/>
          <w:szCs w:val="20"/>
        </w:rPr>
        <w:t>Students</w:t>
      </w:r>
      <w:r w:rsidR="00852596" w:rsidRPr="008D26B7">
        <w:rPr>
          <w:rFonts w:ascii="Baskerville" w:hAnsi="Baskerville" w:cs="Baskerville"/>
          <w:color w:val="231F20"/>
          <w:sz w:val="20"/>
          <w:szCs w:val="20"/>
        </w:rPr>
        <w:t xml:space="preserve"> recognize</w:t>
      </w:r>
      <w:r w:rsidRPr="008D26B7">
        <w:rPr>
          <w:rFonts w:ascii="Baskerville" w:hAnsi="Baskerville" w:cs="Baskerville"/>
          <w:color w:val="231F20"/>
          <w:sz w:val="20"/>
          <w:szCs w:val="20"/>
        </w:rPr>
        <w:t xml:space="preserve"> that the strategic allocation of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 assets across broadly defined financial asset and sub</w:t>
      </w:r>
      <w:r w:rsidR="005457E0" w:rsidRPr="008D26B7">
        <w:rPr>
          <w:rFonts w:ascii="Baskerville" w:hAnsi="Baskerville" w:cs="Baskerville"/>
          <w:color w:val="231F20"/>
          <w:sz w:val="20"/>
          <w:szCs w:val="20"/>
        </w:rPr>
        <w:t>-</w:t>
      </w:r>
      <w:r w:rsidRPr="008D26B7">
        <w:rPr>
          <w:rFonts w:ascii="Baskerville" w:hAnsi="Baskerville" w:cs="Baskerville"/>
          <w:color w:val="231F20"/>
          <w:sz w:val="20"/>
          <w:szCs w:val="20"/>
        </w:rPr>
        <w:t xml:space="preserve">asset categories with varying degrees of risk, return, and return correlation will be the most significant determinant of long-term investment returns and </w:t>
      </w:r>
      <w:r w:rsidR="002676D1" w:rsidRPr="008D26B7">
        <w:rPr>
          <w:rFonts w:ascii="Baskerville" w:hAnsi="Baskerville" w:cs="Baskerville"/>
          <w:color w:val="231F20"/>
          <w:sz w:val="20"/>
          <w:szCs w:val="20"/>
        </w:rPr>
        <w:t>Fund</w:t>
      </w:r>
      <w:r w:rsidR="008F1C82">
        <w:rPr>
          <w:rFonts w:ascii="Baskerville" w:hAnsi="Baskerville" w:cs="Baskerville"/>
          <w:color w:val="231F20"/>
          <w:sz w:val="20"/>
          <w:szCs w:val="20"/>
        </w:rPr>
        <w:t xml:space="preserve"> asset value stability.</w:t>
      </w:r>
    </w:p>
    <w:p w14:paraId="7EC68C34" w14:textId="61DD4FDA" w:rsidR="00817F93" w:rsidRPr="008D26B7" w:rsidRDefault="00817F93" w:rsidP="00E649FE">
      <w:pPr>
        <w:pStyle w:val="ListParagraph"/>
        <w:numPr>
          <w:ilvl w:val="2"/>
          <w:numId w:val="22"/>
        </w:numPr>
        <w:spacing w:after="2" w:line="276" w:lineRule="auto"/>
        <w:jc w:val="both"/>
        <w:rPr>
          <w:rFonts w:ascii="Baskerville" w:hAnsi="Baskerville" w:cs="Baskerville"/>
          <w:color w:val="231F20"/>
          <w:sz w:val="20"/>
          <w:szCs w:val="20"/>
        </w:rPr>
      </w:pPr>
      <w:r>
        <w:rPr>
          <w:rFonts w:ascii="Baskerville" w:hAnsi="Baskerville" w:cs="Baskerville"/>
          <w:color w:val="231F20"/>
          <w:sz w:val="20"/>
          <w:szCs w:val="20"/>
        </w:rPr>
        <w:lastRenderedPageBreak/>
        <w:t>The first month of each academic year may be spent analyzing a security to purchase for the fund. The reasoning is so people will have something in the Fund that is theirs and may learn have experience dealing with the psychological parts of investing.</w:t>
      </w:r>
    </w:p>
    <w:p w14:paraId="275A4E76" w14:textId="18DFB1BC" w:rsidR="00033CA3" w:rsidRPr="008D26B7" w:rsidRDefault="00836A4A" w:rsidP="00133CC6">
      <w:pPr>
        <w:pStyle w:val="ListParagraph"/>
        <w:numPr>
          <w:ilvl w:val="2"/>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The </w:t>
      </w:r>
      <w:r w:rsidR="00764E79" w:rsidRPr="008D26B7">
        <w:rPr>
          <w:rFonts w:ascii="Baskerville" w:hAnsi="Baskerville" w:cs="Baskerville"/>
          <w:color w:val="231F20"/>
          <w:sz w:val="20"/>
          <w:szCs w:val="20"/>
        </w:rPr>
        <w:t>Students</w:t>
      </w:r>
      <w:r w:rsidR="00852596" w:rsidRPr="008D26B7">
        <w:rPr>
          <w:rFonts w:ascii="Baskerville" w:hAnsi="Baskerville" w:cs="Baskerville"/>
          <w:color w:val="231F20"/>
          <w:sz w:val="20"/>
          <w:szCs w:val="20"/>
        </w:rPr>
        <w:t xml:space="preserve"> expect</w:t>
      </w:r>
      <w:r w:rsidRPr="008D26B7">
        <w:rPr>
          <w:rFonts w:ascii="Baskerville" w:hAnsi="Baskerville" w:cs="Baskerville"/>
          <w:color w:val="231F20"/>
          <w:sz w:val="20"/>
          <w:szCs w:val="20"/>
        </w:rPr>
        <w:t xml:space="preserve"> that actual returns and return volatility may vary from expectations and return objectives across short periods of time. While the </w:t>
      </w:r>
      <w:r w:rsidR="00764E79" w:rsidRPr="008D26B7">
        <w:rPr>
          <w:rFonts w:ascii="Baskerville" w:hAnsi="Baskerville" w:cs="Baskerville"/>
          <w:color w:val="231F20"/>
          <w:sz w:val="20"/>
          <w:szCs w:val="20"/>
        </w:rPr>
        <w:t>Students</w:t>
      </w:r>
      <w:r w:rsidR="00133CC6" w:rsidRPr="008D26B7">
        <w:rPr>
          <w:rFonts w:ascii="Baskerville" w:hAnsi="Baskerville" w:cs="Baskerville"/>
          <w:color w:val="231F20"/>
          <w:sz w:val="20"/>
          <w:szCs w:val="20"/>
        </w:rPr>
        <w:t xml:space="preserve"> wish</w:t>
      </w:r>
      <w:r w:rsidRPr="008D26B7">
        <w:rPr>
          <w:rFonts w:ascii="Baskerville" w:hAnsi="Baskerville" w:cs="Baskerville"/>
          <w:color w:val="231F20"/>
          <w:sz w:val="20"/>
          <w:szCs w:val="20"/>
        </w:rPr>
        <w:t xml:space="preserve"> to retain flexibility with respect to making periodic changes to 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’s asset allocation, it expects to do so only in the event of material changes to the Fund, to the assumptions underlying Fund spending policies, and/or to the capital markets and asset classes in which 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 invests.</w:t>
      </w:r>
      <w:r w:rsidR="008F1C82">
        <w:rPr>
          <w:rFonts w:ascii="Baskerville" w:hAnsi="Baskerville" w:cs="Baskerville"/>
          <w:color w:val="231F20"/>
          <w:sz w:val="20"/>
          <w:szCs w:val="20"/>
        </w:rPr>
        <w:t xml:space="preserve"> The Fund will be allocated under a </w:t>
      </w:r>
      <w:r w:rsidR="008F1C82">
        <w:rPr>
          <w:rFonts w:ascii="Baskerville" w:hAnsi="Baskerville" w:cs="Baskerville"/>
          <w:color w:val="231F20"/>
          <w:sz w:val="20"/>
          <w:szCs w:val="20"/>
          <w:u w:val="single"/>
        </w:rPr>
        <w:t>Value-Weighting Model.</w:t>
      </w:r>
    </w:p>
    <w:p w14:paraId="2562C18C" w14:textId="77777777" w:rsidR="00133CC6" w:rsidRPr="008D26B7" w:rsidRDefault="00133CC6" w:rsidP="00133CC6">
      <w:pPr>
        <w:pStyle w:val="ListParagraph"/>
        <w:numPr>
          <w:ilvl w:val="2"/>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Fund assets will be managed as a balanced equity portfolio with the goal of maximizing the long-term real growth of Fund assets.</w:t>
      </w:r>
    </w:p>
    <w:p w14:paraId="4E80B9FE" w14:textId="23B0DDF2" w:rsidR="00033CA3" w:rsidRPr="008D26B7" w:rsidRDefault="00836A4A" w:rsidP="00E649FE">
      <w:pPr>
        <w:pStyle w:val="ListParagraph"/>
        <w:numPr>
          <w:ilvl w:val="2"/>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Cash investments will, under normal circumstances, only be considered as temporary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 holdings, and will be used for Fund liquidity needs or to facilitate a planned p</w:t>
      </w:r>
      <w:r w:rsidR="00133CC6" w:rsidRPr="008D26B7">
        <w:rPr>
          <w:rFonts w:ascii="Baskerville" w:hAnsi="Baskerville" w:cs="Baskerville"/>
          <w:color w:val="231F20"/>
          <w:sz w:val="20"/>
          <w:szCs w:val="20"/>
        </w:rPr>
        <w:t>rogram of dollar-cost averaging</w:t>
      </w:r>
      <w:r w:rsidRPr="008D26B7">
        <w:rPr>
          <w:rFonts w:ascii="Baskerville" w:hAnsi="Baskerville" w:cs="Baskerville"/>
          <w:color w:val="231F20"/>
          <w:sz w:val="20"/>
          <w:szCs w:val="20"/>
        </w:rPr>
        <w:t>.</w:t>
      </w:r>
    </w:p>
    <w:p w14:paraId="3B6C16CC" w14:textId="77777777" w:rsidR="00033CA3" w:rsidRPr="008D26B7" w:rsidRDefault="00836A4A" w:rsidP="00E649FE">
      <w:pPr>
        <w:pStyle w:val="ListParagraph"/>
        <w:numPr>
          <w:ilvl w:val="2"/>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Outlined below are the long-term strategic asset allocation guidelines, determined by the </w:t>
      </w:r>
      <w:r w:rsidR="00764E79" w:rsidRPr="008D26B7">
        <w:rPr>
          <w:rFonts w:ascii="Baskerville" w:hAnsi="Baskerville" w:cs="Baskerville"/>
          <w:color w:val="231F20"/>
          <w:sz w:val="20"/>
          <w:szCs w:val="20"/>
        </w:rPr>
        <w:t>Students</w:t>
      </w:r>
      <w:r w:rsidRPr="008D26B7">
        <w:rPr>
          <w:rFonts w:ascii="Baskerville" w:hAnsi="Baskerville" w:cs="Baskerville"/>
          <w:color w:val="231F20"/>
          <w:sz w:val="20"/>
          <w:szCs w:val="20"/>
        </w:rPr>
        <w:t xml:space="preserve"> to be the most appropriate, given the Fund’s long-term objectives and short-term constraints.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 assets will, under normal circumstances, be allocated across broad asset and sub</w:t>
      </w:r>
      <w:r w:rsidR="005457E0" w:rsidRPr="008D26B7">
        <w:rPr>
          <w:rFonts w:ascii="Baskerville" w:hAnsi="Baskerville" w:cs="Baskerville"/>
          <w:color w:val="231F20"/>
          <w:sz w:val="20"/>
          <w:szCs w:val="20"/>
        </w:rPr>
        <w:t>-</w:t>
      </w:r>
      <w:r w:rsidRPr="008D26B7">
        <w:rPr>
          <w:rFonts w:ascii="Baskerville" w:hAnsi="Baskerville" w:cs="Baskerville"/>
          <w:color w:val="231F20"/>
          <w:sz w:val="20"/>
          <w:szCs w:val="20"/>
        </w:rPr>
        <w:t>asset classes in accordance with the following guidelines:</w:t>
      </w:r>
    </w:p>
    <w:tbl>
      <w:tblPr>
        <w:tblStyle w:val="TableGrid"/>
        <w:tblpPr w:leftFromText="180" w:rightFromText="180" w:vertAnchor="text" w:horzAnchor="page" w:tblpX="1549" w:tblpY="483"/>
        <w:tblW w:w="9576" w:type="dxa"/>
        <w:tblBorders>
          <w:left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3192"/>
        <w:gridCol w:w="3192"/>
        <w:gridCol w:w="3192"/>
      </w:tblGrid>
      <w:tr w:rsidR="008050A7" w:rsidRPr="008D26B7" w14:paraId="6E80FE6A" w14:textId="77777777" w:rsidTr="004B447C">
        <w:trPr>
          <w:trHeight w:val="178"/>
        </w:trPr>
        <w:tc>
          <w:tcPr>
            <w:tcW w:w="3192" w:type="dxa"/>
            <w:tcBorders>
              <w:top w:val="nil"/>
              <w:bottom w:val="single" w:sz="4" w:space="0" w:color="auto"/>
            </w:tcBorders>
          </w:tcPr>
          <w:p w14:paraId="3CB35B90" w14:textId="77777777" w:rsidR="008050A7" w:rsidRPr="008D26B7" w:rsidRDefault="008050A7" w:rsidP="00E649FE">
            <w:p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Asset Class</w:t>
            </w:r>
          </w:p>
        </w:tc>
        <w:tc>
          <w:tcPr>
            <w:tcW w:w="3192" w:type="dxa"/>
            <w:tcBorders>
              <w:top w:val="nil"/>
              <w:bottom w:val="single" w:sz="4" w:space="0" w:color="auto"/>
            </w:tcBorders>
          </w:tcPr>
          <w:p w14:paraId="47CC79C8" w14:textId="77777777" w:rsidR="008050A7" w:rsidRPr="008D26B7" w:rsidRDefault="008050A7" w:rsidP="00E649FE">
            <w:p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Sub-Asset Class</w:t>
            </w:r>
          </w:p>
        </w:tc>
        <w:tc>
          <w:tcPr>
            <w:tcW w:w="3192" w:type="dxa"/>
            <w:tcBorders>
              <w:top w:val="nil"/>
              <w:bottom w:val="single" w:sz="4" w:space="0" w:color="auto"/>
            </w:tcBorders>
          </w:tcPr>
          <w:p w14:paraId="0A68B8AA" w14:textId="77777777" w:rsidR="008050A7" w:rsidRPr="008D26B7" w:rsidRDefault="008050A7" w:rsidP="00A933FF">
            <w:pPr>
              <w:spacing w:after="2" w:line="276" w:lineRule="auto"/>
              <w:jc w:val="right"/>
              <w:rPr>
                <w:rFonts w:ascii="Baskerville" w:hAnsi="Baskerville" w:cs="Baskerville"/>
                <w:color w:val="231F20"/>
                <w:sz w:val="20"/>
                <w:szCs w:val="20"/>
              </w:rPr>
            </w:pPr>
            <w:r w:rsidRPr="008D26B7">
              <w:rPr>
                <w:rFonts w:ascii="Baskerville" w:hAnsi="Baskerville" w:cs="Baskerville"/>
                <w:color w:val="231F20"/>
                <w:sz w:val="20"/>
                <w:szCs w:val="20"/>
              </w:rPr>
              <w:t>Target Allocation</w:t>
            </w:r>
          </w:p>
        </w:tc>
      </w:tr>
      <w:tr w:rsidR="008050A7" w:rsidRPr="008D26B7" w14:paraId="395E93FF" w14:textId="77777777" w:rsidTr="008050A7">
        <w:tc>
          <w:tcPr>
            <w:tcW w:w="3192" w:type="dxa"/>
            <w:tcBorders>
              <w:top w:val="single" w:sz="4" w:space="0" w:color="auto"/>
            </w:tcBorders>
          </w:tcPr>
          <w:p w14:paraId="65AD0C3C" w14:textId="77777777" w:rsidR="008050A7" w:rsidRPr="008D26B7" w:rsidRDefault="008050A7" w:rsidP="00E649FE">
            <w:p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Equity</w:t>
            </w:r>
          </w:p>
        </w:tc>
        <w:tc>
          <w:tcPr>
            <w:tcW w:w="3192" w:type="dxa"/>
            <w:tcBorders>
              <w:top w:val="single" w:sz="4" w:space="0" w:color="auto"/>
            </w:tcBorders>
          </w:tcPr>
          <w:p w14:paraId="3ABB5102" w14:textId="21852D3C" w:rsidR="008050A7" w:rsidRPr="008D26B7" w:rsidRDefault="00704E63" w:rsidP="00E649FE">
            <w:pPr>
              <w:spacing w:after="2" w:line="276" w:lineRule="auto"/>
              <w:jc w:val="both"/>
              <w:rPr>
                <w:rFonts w:ascii="Baskerville" w:hAnsi="Baskerville" w:cs="Baskerville"/>
                <w:color w:val="231F20"/>
                <w:sz w:val="20"/>
                <w:szCs w:val="20"/>
              </w:rPr>
            </w:pPr>
            <w:r>
              <w:rPr>
                <w:rFonts w:ascii="Baskerville" w:hAnsi="Baskerville" w:cs="Baskerville"/>
                <w:color w:val="231F20"/>
                <w:sz w:val="20"/>
                <w:szCs w:val="20"/>
              </w:rPr>
              <w:t>Large-</w:t>
            </w:r>
            <w:r w:rsidR="00133CC6" w:rsidRPr="008D26B7">
              <w:rPr>
                <w:rFonts w:ascii="Baskerville" w:hAnsi="Baskerville" w:cs="Baskerville"/>
                <w:color w:val="231F20"/>
                <w:sz w:val="20"/>
                <w:szCs w:val="20"/>
              </w:rPr>
              <w:t>Cap</w:t>
            </w:r>
          </w:p>
        </w:tc>
        <w:tc>
          <w:tcPr>
            <w:tcW w:w="3192" w:type="dxa"/>
            <w:tcBorders>
              <w:top w:val="single" w:sz="4" w:space="0" w:color="auto"/>
            </w:tcBorders>
          </w:tcPr>
          <w:p w14:paraId="3F1F9331" w14:textId="634490B2" w:rsidR="008050A7" w:rsidRPr="008D26B7" w:rsidRDefault="00704E63" w:rsidP="00E649FE">
            <w:pPr>
              <w:spacing w:after="2" w:line="276" w:lineRule="auto"/>
              <w:jc w:val="right"/>
              <w:rPr>
                <w:rFonts w:ascii="Baskerville" w:hAnsi="Baskerville" w:cs="Baskerville"/>
                <w:color w:val="231F20"/>
                <w:sz w:val="20"/>
                <w:szCs w:val="20"/>
              </w:rPr>
            </w:pPr>
            <w:r>
              <w:rPr>
                <w:rFonts w:ascii="Baskerville" w:hAnsi="Baskerville" w:cs="Baskerville"/>
                <w:color w:val="231F20"/>
                <w:sz w:val="20"/>
                <w:szCs w:val="20"/>
              </w:rPr>
              <w:t>50</w:t>
            </w:r>
            <w:r w:rsidR="008050A7" w:rsidRPr="008D26B7">
              <w:rPr>
                <w:rFonts w:ascii="Baskerville" w:hAnsi="Baskerville" w:cs="Baskerville"/>
                <w:color w:val="231F20"/>
                <w:sz w:val="20"/>
                <w:szCs w:val="20"/>
              </w:rPr>
              <w:t>%</w:t>
            </w:r>
          </w:p>
        </w:tc>
      </w:tr>
      <w:tr w:rsidR="008050A7" w:rsidRPr="008D26B7" w14:paraId="31879F95" w14:textId="77777777" w:rsidTr="008050A7">
        <w:tc>
          <w:tcPr>
            <w:tcW w:w="3192" w:type="dxa"/>
          </w:tcPr>
          <w:p w14:paraId="7C606544" w14:textId="77777777" w:rsidR="008050A7" w:rsidRPr="008D26B7" w:rsidRDefault="008050A7" w:rsidP="00E649FE">
            <w:pPr>
              <w:spacing w:after="2" w:line="276" w:lineRule="auto"/>
              <w:jc w:val="both"/>
              <w:rPr>
                <w:rFonts w:ascii="Baskerville" w:hAnsi="Baskerville" w:cs="Baskerville"/>
                <w:color w:val="231F20"/>
                <w:sz w:val="20"/>
                <w:szCs w:val="20"/>
              </w:rPr>
            </w:pPr>
          </w:p>
        </w:tc>
        <w:tc>
          <w:tcPr>
            <w:tcW w:w="3192" w:type="dxa"/>
          </w:tcPr>
          <w:p w14:paraId="1919D46C" w14:textId="41FE59BF" w:rsidR="008050A7" w:rsidRPr="008D26B7" w:rsidRDefault="00704E63" w:rsidP="00E649FE">
            <w:pPr>
              <w:spacing w:after="2" w:line="276" w:lineRule="auto"/>
              <w:jc w:val="both"/>
              <w:rPr>
                <w:rFonts w:ascii="Baskerville" w:hAnsi="Baskerville" w:cs="Baskerville"/>
                <w:color w:val="231F20"/>
                <w:sz w:val="20"/>
                <w:szCs w:val="20"/>
              </w:rPr>
            </w:pPr>
            <w:r>
              <w:rPr>
                <w:rFonts w:ascii="Baskerville" w:hAnsi="Baskerville" w:cs="Baskerville"/>
                <w:color w:val="231F20"/>
                <w:sz w:val="20"/>
                <w:szCs w:val="20"/>
              </w:rPr>
              <w:t>Mid-Cap</w:t>
            </w:r>
          </w:p>
        </w:tc>
        <w:tc>
          <w:tcPr>
            <w:tcW w:w="3192" w:type="dxa"/>
          </w:tcPr>
          <w:p w14:paraId="0EF6EA4F" w14:textId="5714728F" w:rsidR="008050A7" w:rsidRPr="008D26B7" w:rsidRDefault="00704E63" w:rsidP="00E649FE">
            <w:pPr>
              <w:spacing w:after="2" w:line="276" w:lineRule="auto"/>
              <w:jc w:val="right"/>
              <w:rPr>
                <w:rFonts w:ascii="Baskerville" w:hAnsi="Baskerville" w:cs="Baskerville"/>
                <w:color w:val="231F20"/>
                <w:sz w:val="20"/>
                <w:szCs w:val="20"/>
              </w:rPr>
            </w:pPr>
            <w:r>
              <w:rPr>
                <w:rFonts w:ascii="Baskerville" w:hAnsi="Baskerville" w:cs="Baskerville"/>
                <w:color w:val="231F20"/>
                <w:sz w:val="20"/>
                <w:szCs w:val="20"/>
              </w:rPr>
              <w:t>20</w:t>
            </w:r>
            <w:r w:rsidR="008050A7" w:rsidRPr="008D26B7">
              <w:rPr>
                <w:rFonts w:ascii="Baskerville" w:hAnsi="Baskerville" w:cs="Baskerville"/>
                <w:color w:val="231F20"/>
                <w:sz w:val="20"/>
                <w:szCs w:val="20"/>
              </w:rPr>
              <w:t>%</w:t>
            </w:r>
          </w:p>
        </w:tc>
      </w:tr>
      <w:tr w:rsidR="008050A7" w:rsidRPr="008D26B7" w14:paraId="35D5776F" w14:textId="77777777" w:rsidTr="00F34214">
        <w:trPr>
          <w:trHeight w:val="181"/>
        </w:trPr>
        <w:tc>
          <w:tcPr>
            <w:tcW w:w="3192" w:type="dxa"/>
          </w:tcPr>
          <w:p w14:paraId="3B01EA86" w14:textId="77777777" w:rsidR="008050A7" w:rsidRPr="008D26B7" w:rsidRDefault="008050A7" w:rsidP="00E649FE">
            <w:pPr>
              <w:spacing w:after="2" w:line="276" w:lineRule="auto"/>
              <w:jc w:val="both"/>
              <w:rPr>
                <w:rFonts w:ascii="Baskerville" w:hAnsi="Baskerville" w:cs="Baskerville"/>
                <w:color w:val="231F20"/>
                <w:sz w:val="20"/>
                <w:szCs w:val="20"/>
              </w:rPr>
            </w:pPr>
          </w:p>
          <w:p w14:paraId="538EF6E3" w14:textId="77777777" w:rsidR="008050A7" w:rsidRPr="008D26B7" w:rsidRDefault="008050A7" w:rsidP="00E649FE">
            <w:pPr>
              <w:spacing w:after="2" w:line="276" w:lineRule="auto"/>
              <w:jc w:val="both"/>
              <w:rPr>
                <w:rFonts w:ascii="Baskerville" w:hAnsi="Baskerville" w:cs="Baskerville"/>
                <w:color w:val="231F20"/>
                <w:sz w:val="20"/>
                <w:szCs w:val="20"/>
              </w:rPr>
            </w:pPr>
          </w:p>
        </w:tc>
        <w:tc>
          <w:tcPr>
            <w:tcW w:w="3192" w:type="dxa"/>
          </w:tcPr>
          <w:p w14:paraId="58260D1F" w14:textId="77777777" w:rsidR="00704E63" w:rsidRDefault="00704E63" w:rsidP="00E649FE">
            <w:pPr>
              <w:spacing w:after="2" w:line="276" w:lineRule="auto"/>
              <w:jc w:val="both"/>
              <w:rPr>
                <w:rFonts w:ascii="Baskerville" w:hAnsi="Baskerville" w:cs="Baskerville"/>
                <w:color w:val="231F20"/>
                <w:sz w:val="20"/>
                <w:szCs w:val="20"/>
              </w:rPr>
            </w:pPr>
            <w:r>
              <w:rPr>
                <w:rFonts w:ascii="Baskerville" w:hAnsi="Baskerville" w:cs="Baskerville"/>
                <w:color w:val="231F20"/>
                <w:sz w:val="20"/>
                <w:szCs w:val="20"/>
              </w:rPr>
              <w:t>Small-Cap</w:t>
            </w:r>
          </w:p>
          <w:p w14:paraId="2EA244FF" w14:textId="736C3260" w:rsidR="00704E63" w:rsidRPr="008D26B7" w:rsidRDefault="00704E63" w:rsidP="00E649FE">
            <w:pPr>
              <w:spacing w:after="2" w:line="276" w:lineRule="auto"/>
              <w:jc w:val="both"/>
              <w:rPr>
                <w:rFonts w:ascii="Baskerville" w:hAnsi="Baskerville" w:cs="Baskerville"/>
                <w:color w:val="231F20"/>
                <w:sz w:val="20"/>
                <w:szCs w:val="20"/>
              </w:rPr>
            </w:pPr>
            <w:r>
              <w:rPr>
                <w:rFonts w:ascii="Baskerville" w:hAnsi="Baskerville" w:cs="Baskerville"/>
                <w:color w:val="231F20"/>
                <w:sz w:val="20"/>
                <w:szCs w:val="20"/>
              </w:rPr>
              <w:t>Foreign Index-Funds</w:t>
            </w:r>
          </w:p>
        </w:tc>
        <w:tc>
          <w:tcPr>
            <w:tcW w:w="3192" w:type="dxa"/>
          </w:tcPr>
          <w:p w14:paraId="7AE49DDC" w14:textId="4FD1F535" w:rsidR="00704E63" w:rsidRDefault="00704E63" w:rsidP="00133CC6">
            <w:pPr>
              <w:spacing w:after="2" w:line="276" w:lineRule="auto"/>
              <w:jc w:val="right"/>
              <w:rPr>
                <w:rFonts w:ascii="Baskerville" w:hAnsi="Baskerville" w:cs="Baskerville"/>
                <w:color w:val="231F20"/>
                <w:sz w:val="20"/>
                <w:szCs w:val="20"/>
              </w:rPr>
            </w:pPr>
            <w:r>
              <w:rPr>
                <w:rFonts w:ascii="Baskerville" w:hAnsi="Baskerville" w:cs="Baskerville"/>
                <w:color w:val="231F20"/>
                <w:sz w:val="20"/>
                <w:szCs w:val="20"/>
              </w:rPr>
              <w:t>2</w:t>
            </w:r>
            <w:r w:rsidR="00133CC6" w:rsidRPr="008D26B7">
              <w:rPr>
                <w:rFonts w:ascii="Baskerville" w:hAnsi="Baskerville" w:cs="Baskerville"/>
                <w:color w:val="231F20"/>
                <w:sz w:val="20"/>
                <w:szCs w:val="20"/>
              </w:rPr>
              <w:t>0</w:t>
            </w:r>
            <w:r w:rsidR="008050A7" w:rsidRPr="008D26B7">
              <w:rPr>
                <w:rFonts w:ascii="Baskerville" w:hAnsi="Baskerville" w:cs="Baskerville"/>
                <w:color w:val="231F20"/>
                <w:sz w:val="20"/>
                <w:szCs w:val="20"/>
              </w:rPr>
              <w:t>%</w:t>
            </w:r>
          </w:p>
          <w:p w14:paraId="223DBF02" w14:textId="00C26329" w:rsidR="00133CC6" w:rsidRPr="008D26B7" w:rsidRDefault="00704E63" w:rsidP="00133CC6">
            <w:pPr>
              <w:spacing w:after="2" w:line="276" w:lineRule="auto"/>
              <w:jc w:val="right"/>
              <w:rPr>
                <w:rFonts w:ascii="Baskerville" w:hAnsi="Baskerville" w:cs="Baskerville"/>
                <w:color w:val="231F20"/>
                <w:sz w:val="20"/>
                <w:szCs w:val="20"/>
              </w:rPr>
            </w:pPr>
            <w:r>
              <w:rPr>
                <w:rFonts w:ascii="Baskerville" w:hAnsi="Baskerville" w:cs="Baskerville"/>
                <w:color w:val="231F20"/>
                <w:sz w:val="20"/>
                <w:szCs w:val="20"/>
              </w:rPr>
              <w:t xml:space="preserve">10% </w:t>
            </w:r>
          </w:p>
        </w:tc>
      </w:tr>
    </w:tbl>
    <w:p w14:paraId="4F3546CB" w14:textId="5DC1C42E" w:rsidR="008050A7" w:rsidRPr="008D26B7" w:rsidRDefault="008050A7" w:rsidP="00E649FE">
      <w:pPr>
        <w:pStyle w:val="ListParagraph"/>
        <w:numPr>
          <w:ilvl w:val="2"/>
          <w:numId w:val="22"/>
        </w:numPr>
        <w:spacing w:after="2" w:line="276" w:lineRule="auto"/>
        <w:jc w:val="both"/>
        <w:rPr>
          <w:rFonts w:ascii="Baskerville" w:hAnsi="Baskerville" w:cs="Baskerville"/>
          <w:color w:val="231F20"/>
          <w:sz w:val="20"/>
          <w:szCs w:val="20"/>
        </w:rPr>
      </w:pPr>
    </w:p>
    <w:p w14:paraId="49E9BA7A" w14:textId="3BBA5529" w:rsidR="008050A7" w:rsidRPr="008D26B7" w:rsidRDefault="00852596" w:rsidP="00E649FE">
      <w:pPr>
        <w:pStyle w:val="ListParagraph"/>
        <w:numPr>
          <w:ilvl w:val="2"/>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The Stu</w:t>
      </w:r>
      <w:r w:rsidR="000A22D3" w:rsidRPr="008D26B7">
        <w:rPr>
          <w:rFonts w:ascii="Baskerville" w:hAnsi="Baskerville" w:cs="Baskerville"/>
          <w:color w:val="231F20"/>
          <w:sz w:val="20"/>
          <w:szCs w:val="20"/>
        </w:rPr>
        <w:t>dents recognize that there is negligible</w:t>
      </w:r>
      <w:r w:rsidRPr="008D26B7">
        <w:rPr>
          <w:rFonts w:ascii="Baskerville" w:hAnsi="Baskerville" w:cs="Baskerville"/>
          <w:color w:val="231F20"/>
          <w:sz w:val="20"/>
          <w:szCs w:val="20"/>
        </w:rPr>
        <w:t xml:space="preserve"> statistical</w:t>
      </w:r>
      <w:r w:rsidR="004B447C">
        <w:rPr>
          <w:rFonts w:ascii="Baskerville" w:hAnsi="Baskerville" w:cs="Baskerville"/>
          <w:color w:val="231F20"/>
          <w:sz w:val="20"/>
          <w:szCs w:val="20"/>
        </w:rPr>
        <w:t xml:space="preserve"> benefit to holding more than forty</w:t>
      </w:r>
      <w:r w:rsidRPr="008D26B7">
        <w:rPr>
          <w:rFonts w:ascii="Baskerville" w:hAnsi="Baskerville" w:cs="Baskerville"/>
          <w:color w:val="231F20"/>
          <w:sz w:val="20"/>
          <w:szCs w:val="20"/>
        </w:rPr>
        <w:t xml:space="preserve"> different equity investments at </w:t>
      </w:r>
      <w:r w:rsidR="000A22D3" w:rsidRPr="008D26B7">
        <w:rPr>
          <w:rFonts w:ascii="Baskerville" w:hAnsi="Baskerville" w:cs="Baskerville"/>
          <w:color w:val="231F20"/>
          <w:sz w:val="20"/>
          <w:szCs w:val="20"/>
        </w:rPr>
        <w:t xml:space="preserve">any </w:t>
      </w:r>
      <w:r w:rsidRPr="008D26B7">
        <w:rPr>
          <w:rFonts w:ascii="Baskerville" w:hAnsi="Baskerville" w:cs="Baskerville"/>
          <w:color w:val="231F20"/>
          <w:sz w:val="20"/>
          <w:szCs w:val="20"/>
        </w:rPr>
        <w:t>o</w:t>
      </w:r>
      <w:bookmarkStart w:id="0" w:name="_GoBack"/>
      <w:bookmarkEnd w:id="0"/>
      <w:r w:rsidRPr="008D26B7">
        <w:rPr>
          <w:rFonts w:ascii="Baskerville" w:hAnsi="Baskerville" w:cs="Baskerville"/>
          <w:color w:val="231F20"/>
          <w:sz w:val="20"/>
          <w:szCs w:val="20"/>
        </w:rPr>
        <w:t>ne time. As such, the Fund shall be prohibited from holding more than 40 equity investments during a quarter.</w:t>
      </w:r>
    </w:p>
    <w:p w14:paraId="26A3C745" w14:textId="77777777" w:rsidR="00033CA3" w:rsidRPr="008D26B7" w:rsidRDefault="00836A4A" w:rsidP="00E649FE">
      <w:pPr>
        <w:pStyle w:val="ListParagraph"/>
        <w:numPr>
          <w:ilvl w:val="1"/>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Diversification policy</w:t>
      </w:r>
    </w:p>
    <w:p w14:paraId="74205996" w14:textId="77777777" w:rsidR="00033CA3" w:rsidRPr="008D26B7" w:rsidRDefault="00836A4A" w:rsidP="00E649FE">
      <w:pPr>
        <w:pStyle w:val="ListParagraph"/>
        <w:numPr>
          <w:ilvl w:val="2"/>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Diversification across and within asset classes is the primary means by which the </w:t>
      </w:r>
      <w:r w:rsidR="00764E79" w:rsidRPr="008D26B7">
        <w:rPr>
          <w:rFonts w:ascii="Baskerville" w:hAnsi="Baskerville" w:cs="Baskerville"/>
          <w:color w:val="231F20"/>
          <w:sz w:val="20"/>
          <w:szCs w:val="20"/>
        </w:rPr>
        <w:t>Students</w:t>
      </w:r>
      <w:r w:rsidR="005457E0" w:rsidRPr="008D26B7">
        <w:rPr>
          <w:rFonts w:ascii="Baskerville" w:hAnsi="Baskerville" w:cs="Baskerville"/>
          <w:color w:val="231F20"/>
          <w:sz w:val="20"/>
          <w:szCs w:val="20"/>
        </w:rPr>
        <w:t xml:space="preserve"> </w:t>
      </w:r>
      <w:r w:rsidR="00852596" w:rsidRPr="008D26B7">
        <w:rPr>
          <w:rFonts w:ascii="Baskerville" w:hAnsi="Baskerville" w:cs="Baskerville"/>
          <w:color w:val="231F20"/>
          <w:sz w:val="20"/>
          <w:szCs w:val="20"/>
        </w:rPr>
        <w:t>expect</w:t>
      </w:r>
      <w:r w:rsidRPr="008D26B7">
        <w:rPr>
          <w:rFonts w:ascii="Baskerville" w:hAnsi="Baskerville" w:cs="Baskerville"/>
          <w:color w:val="231F20"/>
          <w:sz w:val="20"/>
          <w:szCs w:val="20"/>
        </w:rPr>
        <w:t xml:space="preserve"> 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 to avoid undue risk of large losses over long time periods. To protect the</w:t>
      </w:r>
      <w:r w:rsidR="005457E0" w:rsidRPr="008D26B7">
        <w:rPr>
          <w:rFonts w:ascii="Baskerville" w:hAnsi="Baskerville" w:cs="Baskerville"/>
          <w:color w:val="231F20"/>
          <w:sz w:val="20"/>
          <w:szCs w:val="20"/>
        </w:rPr>
        <w:t xml:space="preserv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 against unfavorable outcomes within an asset class due to the assumption of large</w:t>
      </w:r>
      <w:r w:rsidR="005457E0"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 xml:space="preserve">risks, the </w:t>
      </w:r>
      <w:r w:rsidR="00764E79" w:rsidRPr="008D26B7">
        <w:rPr>
          <w:rFonts w:ascii="Baskerville" w:hAnsi="Baskerville" w:cs="Baskerville"/>
          <w:color w:val="231F20"/>
          <w:sz w:val="20"/>
          <w:szCs w:val="20"/>
        </w:rPr>
        <w:t>Students</w:t>
      </w:r>
      <w:r w:rsidRPr="008D26B7">
        <w:rPr>
          <w:rFonts w:ascii="Baskerville" w:hAnsi="Baskerville" w:cs="Baskerville"/>
          <w:color w:val="231F20"/>
          <w:sz w:val="20"/>
          <w:szCs w:val="20"/>
        </w:rPr>
        <w:t xml:space="preserve"> will take reasonable precautions to avoid excessive investment concentrations.</w:t>
      </w:r>
      <w:r w:rsidR="00987C3B"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Specifically, the following guidelines will be in place:</w:t>
      </w:r>
    </w:p>
    <w:p w14:paraId="759256B6" w14:textId="49C7FB0A" w:rsidR="008D26B7" w:rsidRPr="008154F0" w:rsidRDefault="00836A4A" w:rsidP="008D26B7">
      <w:pPr>
        <w:pStyle w:val="ListParagraph"/>
        <w:numPr>
          <w:ilvl w:val="3"/>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With the exception of passi</w:t>
      </w:r>
      <w:r w:rsidR="008F1C82">
        <w:rPr>
          <w:rFonts w:ascii="Baskerville" w:hAnsi="Baskerville" w:cs="Baskerville"/>
          <w:color w:val="231F20"/>
          <w:sz w:val="20"/>
          <w:szCs w:val="20"/>
        </w:rPr>
        <w:t xml:space="preserve">vely managed index fund, no </w:t>
      </w:r>
      <w:r w:rsidR="00852596" w:rsidRPr="008D26B7">
        <w:rPr>
          <w:rFonts w:ascii="Baskerville" w:hAnsi="Baskerville" w:cs="Baskerville"/>
          <w:color w:val="231F20"/>
          <w:sz w:val="20"/>
          <w:szCs w:val="20"/>
        </w:rPr>
        <w:t>investment shall comprise more than 10</w:t>
      </w:r>
      <w:r w:rsidRPr="008D26B7">
        <w:rPr>
          <w:rFonts w:ascii="Baskerville" w:hAnsi="Baskerville" w:cs="Baskerville"/>
          <w:color w:val="231F20"/>
          <w:sz w:val="20"/>
          <w:szCs w:val="20"/>
        </w:rPr>
        <w:t xml:space="preserve">% of total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 assets.</w:t>
      </w:r>
    </w:p>
    <w:p w14:paraId="55F2801A" w14:textId="77777777" w:rsidR="00033CA3" w:rsidRPr="008D26B7" w:rsidRDefault="00836A4A" w:rsidP="00E649FE">
      <w:pPr>
        <w:pStyle w:val="ListParagraph"/>
        <w:numPr>
          <w:ilvl w:val="1"/>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Rebalancing</w:t>
      </w:r>
    </w:p>
    <w:p w14:paraId="532957A3" w14:textId="0A158D64" w:rsidR="00033CA3" w:rsidRPr="008D26B7" w:rsidRDefault="00B862E5" w:rsidP="00E649FE">
      <w:pPr>
        <w:pStyle w:val="ListParagraph"/>
        <w:numPr>
          <w:ilvl w:val="2"/>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I</w:t>
      </w:r>
      <w:r w:rsidR="00836A4A" w:rsidRPr="008D26B7">
        <w:rPr>
          <w:rFonts w:ascii="Baskerville" w:hAnsi="Baskerville" w:cs="Baskerville"/>
          <w:color w:val="231F20"/>
          <w:sz w:val="20"/>
          <w:szCs w:val="20"/>
        </w:rPr>
        <w:t xml:space="preserve">t is expected that the </w:t>
      </w:r>
      <w:r w:rsidR="002676D1" w:rsidRPr="008D26B7">
        <w:rPr>
          <w:rFonts w:ascii="Baskerville" w:hAnsi="Baskerville" w:cs="Baskerville"/>
          <w:color w:val="231F20"/>
          <w:sz w:val="20"/>
          <w:szCs w:val="20"/>
        </w:rPr>
        <w:t>Fund</w:t>
      </w:r>
      <w:r w:rsidR="00836A4A" w:rsidRPr="008D26B7">
        <w:rPr>
          <w:rFonts w:ascii="Baskerville" w:hAnsi="Baskerville" w:cs="Baskerville"/>
          <w:color w:val="231F20"/>
          <w:sz w:val="20"/>
          <w:szCs w:val="20"/>
        </w:rPr>
        <w:t>’s actual asset allocation will vary from its target asset allocation as</w:t>
      </w:r>
      <w:r w:rsidR="00987C3B" w:rsidRPr="008D26B7">
        <w:rPr>
          <w:rFonts w:ascii="Baskerville" w:hAnsi="Baskerville" w:cs="Baskerville"/>
          <w:color w:val="231F20"/>
          <w:sz w:val="20"/>
          <w:szCs w:val="20"/>
        </w:rPr>
        <w:t xml:space="preserve"> </w:t>
      </w:r>
      <w:r w:rsidR="00836A4A" w:rsidRPr="008D26B7">
        <w:rPr>
          <w:rFonts w:ascii="Baskerville" w:hAnsi="Baskerville" w:cs="Baskerville"/>
          <w:color w:val="231F20"/>
          <w:sz w:val="20"/>
          <w:szCs w:val="20"/>
        </w:rPr>
        <w:t xml:space="preserve">a result of the varying periodic returns earned on its investments. The </w:t>
      </w:r>
      <w:r w:rsidR="002676D1" w:rsidRPr="008D26B7">
        <w:rPr>
          <w:rFonts w:ascii="Baskerville" w:hAnsi="Baskerville" w:cs="Baskerville"/>
          <w:color w:val="231F20"/>
          <w:sz w:val="20"/>
          <w:szCs w:val="20"/>
        </w:rPr>
        <w:t>Fund</w:t>
      </w:r>
      <w:r w:rsidR="00836A4A" w:rsidRPr="008D26B7">
        <w:rPr>
          <w:rFonts w:ascii="Baskerville" w:hAnsi="Baskerville" w:cs="Baskerville"/>
          <w:color w:val="231F20"/>
          <w:sz w:val="20"/>
          <w:szCs w:val="20"/>
        </w:rPr>
        <w:t xml:space="preserve"> will be rebalanced to its target normal asset allocation under the following</w:t>
      </w:r>
      <w:r w:rsidR="00987C3B" w:rsidRPr="008D26B7">
        <w:rPr>
          <w:rFonts w:ascii="Baskerville" w:hAnsi="Baskerville" w:cs="Baskerville"/>
          <w:color w:val="231F20"/>
          <w:sz w:val="20"/>
          <w:szCs w:val="20"/>
        </w:rPr>
        <w:t xml:space="preserve"> procedures:</w:t>
      </w:r>
    </w:p>
    <w:p w14:paraId="7413DB28" w14:textId="0F034F8A" w:rsidR="00033CA3" w:rsidRPr="008D26B7" w:rsidRDefault="00836A4A" w:rsidP="00E649FE">
      <w:pPr>
        <w:pStyle w:val="ListParagraph"/>
        <w:numPr>
          <w:ilvl w:val="3"/>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The </w:t>
      </w:r>
      <w:r w:rsidR="000A22D3" w:rsidRPr="008D26B7">
        <w:rPr>
          <w:rFonts w:ascii="Baskerville" w:hAnsi="Baskerville" w:cs="Baskerville"/>
          <w:color w:val="231F20"/>
          <w:sz w:val="20"/>
          <w:szCs w:val="20"/>
        </w:rPr>
        <w:t>Student’s</w:t>
      </w:r>
      <w:r w:rsidRPr="008D26B7">
        <w:rPr>
          <w:rFonts w:ascii="Baskerville" w:hAnsi="Baskerville" w:cs="Baskerville"/>
          <w:color w:val="231F20"/>
          <w:sz w:val="20"/>
          <w:szCs w:val="20"/>
        </w:rPr>
        <w:t xml:space="preserve"> will use incoming cash flow (contributions</w:t>
      </w:r>
      <w:r w:rsidR="00852596" w:rsidRPr="008D26B7">
        <w:rPr>
          <w:rFonts w:ascii="Baskerville" w:hAnsi="Baskerville" w:cs="Baskerville"/>
          <w:color w:val="231F20"/>
          <w:sz w:val="20"/>
          <w:szCs w:val="20"/>
        </w:rPr>
        <w:t xml:space="preserve"> and investment income</w:t>
      </w:r>
      <w:r w:rsidRPr="008D26B7">
        <w:rPr>
          <w:rFonts w:ascii="Baskerville" w:hAnsi="Baskerville" w:cs="Baskerville"/>
          <w:color w:val="231F20"/>
          <w:sz w:val="20"/>
          <w:szCs w:val="20"/>
        </w:rPr>
        <w:t>) or outgoing money</w:t>
      </w:r>
      <w:r w:rsidR="00987C3B"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 xml:space="preserve">movements (disbursements) of 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 to realign the current weightings closer to the</w:t>
      </w:r>
      <w:r w:rsidR="00987C3B"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 xml:space="preserve">target weightings for 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w:t>
      </w:r>
    </w:p>
    <w:p w14:paraId="38CB90A8" w14:textId="613F37CE" w:rsidR="00033CA3" w:rsidRPr="008D26B7" w:rsidRDefault="00836A4A" w:rsidP="00E649FE">
      <w:pPr>
        <w:pStyle w:val="ListParagraph"/>
        <w:numPr>
          <w:ilvl w:val="3"/>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The </w:t>
      </w:r>
      <w:r w:rsidR="00BD4406">
        <w:rPr>
          <w:rFonts w:ascii="Baskerville" w:hAnsi="Baskerville" w:cs="Baskerville"/>
          <w:color w:val="231F20"/>
          <w:sz w:val="20"/>
          <w:szCs w:val="20"/>
        </w:rPr>
        <w:t>Overseers</w:t>
      </w:r>
      <w:r w:rsidR="000A22D3" w:rsidRPr="008D26B7">
        <w:rPr>
          <w:rFonts w:ascii="Baskerville" w:hAnsi="Baskerville" w:cs="Baskerville"/>
          <w:color w:val="231F20"/>
          <w:sz w:val="20"/>
          <w:szCs w:val="20"/>
        </w:rPr>
        <w:t xml:space="preserve"> and the </w:t>
      </w:r>
      <w:r w:rsidR="002659BD" w:rsidRPr="008D26B7">
        <w:rPr>
          <w:rFonts w:ascii="Baskerville" w:hAnsi="Baskerville" w:cs="Baskerville"/>
          <w:color w:val="231F20"/>
          <w:sz w:val="20"/>
          <w:szCs w:val="20"/>
        </w:rPr>
        <w:t>Committee</w:t>
      </w:r>
      <w:r w:rsidRPr="008D26B7">
        <w:rPr>
          <w:rFonts w:ascii="Baskerville" w:hAnsi="Baskerville" w:cs="Baskerville"/>
          <w:color w:val="231F20"/>
          <w:sz w:val="20"/>
          <w:szCs w:val="20"/>
        </w:rPr>
        <w:t xml:space="preserve"> will review the </w:t>
      </w:r>
      <w:r w:rsidR="002676D1" w:rsidRPr="008D26B7">
        <w:rPr>
          <w:rFonts w:ascii="Baskerville" w:hAnsi="Baskerville" w:cs="Baskerville"/>
          <w:color w:val="231F20"/>
          <w:sz w:val="20"/>
          <w:szCs w:val="20"/>
        </w:rPr>
        <w:t>Fund</w:t>
      </w:r>
      <w:r w:rsidR="00E649FE" w:rsidRPr="008D26B7">
        <w:rPr>
          <w:rFonts w:ascii="Baskerville" w:hAnsi="Baskerville" w:cs="Baskerville"/>
          <w:color w:val="231F20"/>
          <w:sz w:val="20"/>
          <w:szCs w:val="20"/>
        </w:rPr>
        <w:t xml:space="preserve"> semiannually (June 1 and December 1</w:t>
      </w:r>
      <w:r w:rsidRPr="008D26B7">
        <w:rPr>
          <w:rFonts w:ascii="Baskerville" w:hAnsi="Baskerville" w:cs="Baskerville"/>
          <w:color w:val="231F20"/>
          <w:sz w:val="20"/>
          <w:szCs w:val="20"/>
        </w:rPr>
        <w:t>) to</w:t>
      </w:r>
      <w:r w:rsidR="00987C3B"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determine the deviation from target weightings. During each semiannual review, the following</w:t>
      </w:r>
      <w:r w:rsidR="00987C3B"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parameters will be applied:</w:t>
      </w:r>
    </w:p>
    <w:p w14:paraId="74795212" w14:textId="2561BEFF" w:rsidR="00033CA3" w:rsidRPr="007657BF" w:rsidRDefault="00836A4A" w:rsidP="00E649FE">
      <w:pPr>
        <w:pStyle w:val="ListParagraph"/>
        <w:numPr>
          <w:ilvl w:val="4"/>
          <w:numId w:val="22"/>
        </w:numPr>
        <w:spacing w:after="2" w:line="276" w:lineRule="auto"/>
        <w:jc w:val="both"/>
        <w:rPr>
          <w:rFonts w:ascii="Baskerville" w:hAnsi="Baskerville" w:cs="Baskerville"/>
          <w:color w:val="231F20"/>
          <w:sz w:val="20"/>
          <w:szCs w:val="20"/>
        </w:rPr>
      </w:pPr>
      <w:r w:rsidRPr="007657BF">
        <w:rPr>
          <w:rFonts w:ascii="Baskerville" w:hAnsi="Baskerville" w:cs="Baskerville"/>
          <w:color w:val="231F20"/>
          <w:sz w:val="20"/>
          <w:szCs w:val="20"/>
        </w:rPr>
        <w:t xml:space="preserve">If any asset class within the </w:t>
      </w:r>
      <w:r w:rsidR="002676D1" w:rsidRPr="007657BF">
        <w:rPr>
          <w:rFonts w:ascii="Baskerville" w:hAnsi="Baskerville" w:cs="Baskerville"/>
          <w:color w:val="231F20"/>
          <w:sz w:val="20"/>
          <w:szCs w:val="20"/>
        </w:rPr>
        <w:t>Fund</w:t>
      </w:r>
      <w:r w:rsidR="00F668CE">
        <w:rPr>
          <w:rFonts w:ascii="Baskerville" w:hAnsi="Baskerville" w:cs="Baskerville"/>
          <w:color w:val="231F20"/>
          <w:sz w:val="20"/>
          <w:szCs w:val="20"/>
        </w:rPr>
        <w:t xml:space="preserve"> is +/–10</w:t>
      </w:r>
      <w:r w:rsidRPr="007657BF">
        <w:rPr>
          <w:rFonts w:ascii="Baskerville" w:hAnsi="Baskerville" w:cs="Baskerville"/>
          <w:color w:val="231F20"/>
          <w:sz w:val="20"/>
          <w:szCs w:val="20"/>
        </w:rPr>
        <w:t xml:space="preserve"> percentage points from</w:t>
      </w:r>
      <w:r w:rsidR="00987C3B" w:rsidRPr="007657BF">
        <w:rPr>
          <w:rFonts w:ascii="Baskerville" w:hAnsi="Baskerville" w:cs="Baskerville"/>
          <w:color w:val="231F20"/>
          <w:sz w:val="20"/>
          <w:szCs w:val="20"/>
        </w:rPr>
        <w:t xml:space="preserve"> </w:t>
      </w:r>
      <w:r w:rsidRPr="007657BF">
        <w:rPr>
          <w:rFonts w:ascii="Baskerville" w:hAnsi="Baskerville" w:cs="Baskerville"/>
          <w:color w:val="231F20"/>
          <w:sz w:val="20"/>
          <w:szCs w:val="20"/>
        </w:rPr>
        <w:t xml:space="preserve">its target weighting, the </w:t>
      </w:r>
      <w:r w:rsidR="002676D1" w:rsidRPr="007657BF">
        <w:rPr>
          <w:rFonts w:ascii="Baskerville" w:hAnsi="Baskerville" w:cs="Baskerville"/>
          <w:color w:val="231F20"/>
          <w:sz w:val="20"/>
          <w:szCs w:val="20"/>
        </w:rPr>
        <w:t>Fund</w:t>
      </w:r>
      <w:r w:rsidRPr="007657BF">
        <w:rPr>
          <w:rFonts w:ascii="Baskerville" w:hAnsi="Baskerville" w:cs="Baskerville"/>
          <w:color w:val="231F20"/>
          <w:sz w:val="20"/>
          <w:szCs w:val="20"/>
        </w:rPr>
        <w:t xml:space="preserve"> will be rebalanced.</w:t>
      </w:r>
    </w:p>
    <w:p w14:paraId="7802EC1C" w14:textId="096190C9" w:rsidR="00033CA3" w:rsidRPr="008D26B7" w:rsidRDefault="00836A4A" w:rsidP="00E649FE">
      <w:pPr>
        <w:pStyle w:val="ListParagraph"/>
        <w:numPr>
          <w:ilvl w:val="3"/>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The </w:t>
      </w:r>
      <w:r w:rsidR="00BD4406">
        <w:rPr>
          <w:rFonts w:ascii="Baskerville" w:hAnsi="Baskerville" w:cs="Baskerville"/>
          <w:color w:val="231F20"/>
          <w:sz w:val="20"/>
          <w:szCs w:val="20"/>
        </w:rPr>
        <w:t>Overseers</w:t>
      </w:r>
      <w:r w:rsidR="000A22D3"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may provide a rebalancing recommendation at any time.</w:t>
      </w:r>
    </w:p>
    <w:p w14:paraId="2328D8CC" w14:textId="46671161" w:rsidR="00033CA3" w:rsidRPr="008D26B7" w:rsidRDefault="00836A4A" w:rsidP="00E649FE">
      <w:pPr>
        <w:pStyle w:val="ListParagraph"/>
        <w:numPr>
          <w:ilvl w:val="3"/>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The </w:t>
      </w:r>
      <w:r w:rsidR="000A22D3" w:rsidRPr="008D26B7">
        <w:rPr>
          <w:rFonts w:ascii="Baskerville" w:hAnsi="Baskerville" w:cs="Baskerville"/>
          <w:color w:val="231F20"/>
          <w:sz w:val="20"/>
          <w:szCs w:val="20"/>
        </w:rPr>
        <w:t>Students</w:t>
      </w:r>
      <w:r w:rsidRPr="008D26B7">
        <w:rPr>
          <w:rFonts w:ascii="Baskerville" w:hAnsi="Baskerville" w:cs="Baskerville"/>
          <w:color w:val="231F20"/>
          <w:sz w:val="20"/>
          <w:szCs w:val="20"/>
        </w:rPr>
        <w:t xml:space="preserve"> shall act within a reasonable period of time to evaluate deviation from</w:t>
      </w:r>
      <w:r w:rsidR="00987C3B"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these ranges.</w:t>
      </w:r>
    </w:p>
    <w:p w14:paraId="7111CFDD" w14:textId="77777777" w:rsidR="00033CA3" w:rsidRPr="008D26B7" w:rsidRDefault="00836A4A" w:rsidP="00E649FE">
      <w:pPr>
        <w:pStyle w:val="ListParagraph"/>
        <w:numPr>
          <w:ilvl w:val="1"/>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Other investment policies</w:t>
      </w:r>
    </w:p>
    <w:p w14:paraId="5360559C" w14:textId="29F231BE" w:rsidR="00033CA3" w:rsidRPr="008D26B7" w:rsidRDefault="00836A4A" w:rsidP="00E649FE">
      <w:pPr>
        <w:pStyle w:val="ListParagraph"/>
        <w:numPr>
          <w:ilvl w:val="2"/>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Unless expressly authorized by the </w:t>
      </w:r>
      <w:r w:rsidR="00BD4406">
        <w:rPr>
          <w:rFonts w:ascii="Baskerville" w:hAnsi="Baskerville" w:cs="Baskerville"/>
          <w:color w:val="231F20"/>
          <w:sz w:val="20"/>
          <w:szCs w:val="20"/>
        </w:rPr>
        <w:t>Overseers</w:t>
      </w:r>
      <w:r w:rsidRPr="008D26B7">
        <w:rPr>
          <w:rFonts w:ascii="Baskerville" w:hAnsi="Baskerville" w:cs="Baskerville"/>
          <w:color w:val="231F20"/>
          <w:sz w:val="20"/>
          <w:szCs w:val="20"/>
        </w:rPr>
        <w:t xml:space="preserve">, the </w:t>
      </w:r>
      <w:r w:rsidR="00E649FE" w:rsidRPr="008D26B7">
        <w:rPr>
          <w:rFonts w:ascii="Baskerville" w:hAnsi="Baskerville" w:cs="Baskerville"/>
          <w:color w:val="231F20"/>
          <w:sz w:val="20"/>
          <w:szCs w:val="20"/>
        </w:rPr>
        <w:t>Students</w:t>
      </w:r>
      <w:r w:rsidRPr="008D26B7">
        <w:rPr>
          <w:rFonts w:ascii="Baskerville" w:hAnsi="Baskerville" w:cs="Baskerville"/>
          <w:color w:val="231F20"/>
          <w:sz w:val="20"/>
          <w:szCs w:val="20"/>
        </w:rPr>
        <w:t xml:space="preserve"> are prohibited</w:t>
      </w:r>
      <w:r w:rsidR="00987C3B"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from:</w:t>
      </w:r>
    </w:p>
    <w:p w14:paraId="31C1131F" w14:textId="77777777" w:rsidR="00033CA3" w:rsidRPr="008D26B7" w:rsidRDefault="00836A4A" w:rsidP="00E649FE">
      <w:pPr>
        <w:pStyle w:val="ListParagraph"/>
        <w:numPr>
          <w:ilvl w:val="3"/>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Purchasing securities on margin or executing short sales.</w:t>
      </w:r>
    </w:p>
    <w:p w14:paraId="570750BF" w14:textId="77777777" w:rsidR="00E649FE" w:rsidRPr="008D26B7" w:rsidRDefault="00836A4A" w:rsidP="00E649FE">
      <w:pPr>
        <w:pStyle w:val="ListParagraph"/>
        <w:numPr>
          <w:ilvl w:val="3"/>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Pledging or hypothecating securities</w:t>
      </w:r>
      <w:r w:rsidR="00E649FE" w:rsidRPr="008D26B7">
        <w:rPr>
          <w:rFonts w:ascii="Baskerville" w:hAnsi="Baskerville" w:cs="Baskerville"/>
          <w:color w:val="231F20"/>
          <w:sz w:val="20"/>
          <w:szCs w:val="20"/>
        </w:rPr>
        <w:t>.</w:t>
      </w:r>
    </w:p>
    <w:p w14:paraId="4EB189F9" w14:textId="77777777" w:rsidR="00033CA3" w:rsidRPr="008D26B7" w:rsidRDefault="00836A4A" w:rsidP="00E649FE">
      <w:pPr>
        <w:pStyle w:val="ListParagraph"/>
        <w:numPr>
          <w:ilvl w:val="3"/>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Purchasing o</w:t>
      </w:r>
      <w:r w:rsidR="00E649FE" w:rsidRPr="008D26B7">
        <w:rPr>
          <w:rFonts w:ascii="Baskerville" w:hAnsi="Baskerville" w:cs="Baskerville"/>
          <w:color w:val="231F20"/>
          <w:sz w:val="20"/>
          <w:szCs w:val="20"/>
        </w:rPr>
        <w:t>r selling derivative securities.</w:t>
      </w:r>
    </w:p>
    <w:p w14:paraId="0C070674" w14:textId="77777777" w:rsidR="00A537B0" w:rsidRPr="008D26B7" w:rsidRDefault="00836A4A" w:rsidP="00E649FE">
      <w:pPr>
        <w:pStyle w:val="ListParagraph"/>
        <w:numPr>
          <w:ilvl w:val="3"/>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Engaging in investment strategies that have the potential to amplify or distort the risk of loss</w:t>
      </w:r>
      <w:r w:rsidR="00987C3B"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 xml:space="preserve">beyond a level that is reasonably expected, given the objectives of their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w:t>
      </w:r>
    </w:p>
    <w:p w14:paraId="048F4053" w14:textId="77777777" w:rsidR="00033CA3" w:rsidRPr="008D26B7" w:rsidRDefault="00836A4A" w:rsidP="00E649FE">
      <w:pPr>
        <w:pStyle w:val="ListParagraph"/>
        <w:numPr>
          <w:ilvl w:val="0"/>
          <w:numId w:val="22"/>
        </w:numPr>
        <w:spacing w:after="2" w:line="276" w:lineRule="auto"/>
        <w:jc w:val="both"/>
        <w:rPr>
          <w:rFonts w:ascii="Baskerville" w:hAnsi="Baskerville" w:cs="Baskerville"/>
          <w:color w:val="231F20"/>
          <w:szCs w:val="20"/>
        </w:rPr>
      </w:pPr>
      <w:r w:rsidRPr="008D26B7">
        <w:rPr>
          <w:rFonts w:ascii="Baskerville" w:hAnsi="Baskerville" w:cs="Baskerville"/>
          <w:color w:val="231F20"/>
          <w:szCs w:val="20"/>
        </w:rPr>
        <w:t>Monitoring portfolio investments and performance</w:t>
      </w:r>
    </w:p>
    <w:p w14:paraId="06A35BC4" w14:textId="6384E310" w:rsidR="00033CA3" w:rsidRPr="008D26B7" w:rsidRDefault="00836A4A" w:rsidP="00E649FE">
      <w:pPr>
        <w:pStyle w:val="ListParagraph"/>
        <w:numPr>
          <w:ilvl w:val="1"/>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The </w:t>
      </w:r>
      <w:r w:rsidR="00764E79" w:rsidRPr="008D26B7">
        <w:rPr>
          <w:rFonts w:ascii="Baskerville" w:hAnsi="Baskerville" w:cs="Baskerville"/>
          <w:color w:val="231F20"/>
          <w:sz w:val="20"/>
          <w:szCs w:val="20"/>
        </w:rPr>
        <w:t>Students</w:t>
      </w:r>
      <w:r w:rsidRPr="008D26B7">
        <w:rPr>
          <w:rFonts w:ascii="Baskerville" w:hAnsi="Baskerville" w:cs="Baskerville"/>
          <w:color w:val="231F20"/>
          <w:sz w:val="20"/>
          <w:szCs w:val="20"/>
        </w:rPr>
        <w:t xml:space="preserve"> will monitor 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’s investment performance against 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’s stated</w:t>
      </w:r>
      <w:r w:rsidR="00A537B0" w:rsidRPr="008D26B7">
        <w:rPr>
          <w:rFonts w:ascii="Baskerville" w:hAnsi="Baskerville" w:cs="Baskerville"/>
          <w:color w:val="231F20"/>
          <w:sz w:val="20"/>
          <w:szCs w:val="20"/>
        </w:rPr>
        <w:t xml:space="preserve"> I</w:t>
      </w:r>
      <w:r w:rsidRPr="008D26B7">
        <w:rPr>
          <w:rFonts w:ascii="Baskerville" w:hAnsi="Baskerville" w:cs="Baskerville"/>
          <w:color w:val="231F20"/>
          <w:sz w:val="20"/>
          <w:szCs w:val="20"/>
        </w:rPr>
        <w:t xml:space="preserve">nvestment objectives. At a frequency to be decided by the </w:t>
      </w:r>
      <w:r w:rsidR="00BD4406">
        <w:rPr>
          <w:rFonts w:ascii="Baskerville" w:hAnsi="Baskerville" w:cs="Baskerville"/>
          <w:color w:val="231F20"/>
          <w:sz w:val="20"/>
          <w:szCs w:val="20"/>
        </w:rPr>
        <w:t>Overseers</w:t>
      </w:r>
      <w:r w:rsidRPr="008D26B7">
        <w:rPr>
          <w:rFonts w:ascii="Baskerville" w:hAnsi="Baskerville" w:cs="Baskerville"/>
          <w:color w:val="231F20"/>
          <w:sz w:val="20"/>
          <w:szCs w:val="20"/>
        </w:rPr>
        <w:t>, it will formally assess the</w:t>
      </w:r>
      <w:r w:rsidR="00A537B0" w:rsidRPr="008D26B7">
        <w:rPr>
          <w:rFonts w:ascii="Baskerville" w:hAnsi="Baskerville" w:cs="Baskerville"/>
          <w:color w:val="231F20"/>
          <w:sz w:val="20"/>
          <w:szCs w:val="20"/>
        </w:rPr>
        <w:t xml:space="preserv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 and the performance of its underlying investments as follows:</w:t>
      </w:r>
      <w:r w:rsidR="00A537B0" w:rsidRPr="008D26B7">
        <w:rPr>
          <w:rFonts w:ascii="Baskerville" w:hAnsi="Baskerville" w:cs="Baskerville"/>
          <w:color w:val="231F20"/>
          <w:sz w:val="20"/>
          <w:szCs w:val="20"/>
        </w:rPr>
        <w:t xml:space="preserve"> </w:t>
      </w:r>
    </w:p>
    <w:p w14:paraId="440416BD" w14:textId="77777777" w:rsidR="00033CA3" w:rsidRPr="008D26B7" w:rsidRDefault="00836A4A" w:rsidP="00E649FE">
      <w:pPr>
        <w:pStyle w:val="ListParagraph"/>
        <w:numPr>
          <w:ilvl w:val="2"/>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’s composite investment performance (net of fe</w:t>
      </w:r>
      <w:r w:rsidR="00987C3B" w:rsidRPr="008D26B7">
        <w:rPr>
          <w:rFonts w:ascii="Baskerville" w:hAnsi="Baskerville" w:cs="Baskerville"/>
          <w:color w:val="231F20"/>
          <w:sz w:val="20"/>
          <w:szCs w:val="20"/>
        </w:rPr>
        <w:t>es) will be judged against the f</w:t>
      </w:r>
      <w:r w:rsidRPr="008D26B7">
        <w:rPr>
          <w:rFonts w:ascii="Baskerville" w:hAnsi="Baskerville" w:cs="Baskerville"/>
          <w:color w:val="231F20"/>
          <w:sz w:val="20"/>
          <w:szCs w:val="20"/>
        </w:rPr>
        <w:t>ollowing</w:t>
      </w:r>
      <w:r w:rsidR="00987C3B"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standards:</w:t>
      </w:r>
    </w:p>
    <w:p w14:paraId="6BE934C3" w14:textId="77777777" w:rsidR="00033CA3" w:rsidRPr="008D26B7" w:rsidRDefault="00836A4A" w:rsidP="00E649FE">
      <w:pPr>
        <w:pStyle w:val="ListParagraph"/>
        <w:numPr>
          <w:ilvl w:val="3"/>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’s absolute long-term real return objective.</w:t>
      </w:r>
    </w:p>
    <w:p w14:paraId="6C9A1074" w14:textId="77777777" w:rsidR="00033CA3" w:rsidRPr="008D26B7" w:rsidRDefault="00836A4A" w:rsidP="00E649FE">
      <w:pPr>
        <w:pStyle w:val="ListParagraph"/>
        <w:numPr>
          <w:ilvl w:val="3"/>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A composite benchmark consisting of the following unmanaged market indexes weighted</w:t>
      </w:r>
      <w:r w:rsidR="00987C3B"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 xml:space="preserve">according to the expected target asset allocations stipulated by 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’s investment</w:t>
      </w:r>
      <w:r w:rsidR="00987C3B"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guidelines.</w:t>
      </w:r>
    </w:p>
    <w:p w14:paraId="6D761678" w14:textId="47D2E838" w:rsidR="00033CA3" w:rsidRPr="008D26B7" w:rsidRDefault="00836A4A" w:rsidP="00E649FE">
      <w:pPr>
        <w:pStyle w:val="ListParagraph"/>
        <w:numPr>
          <w:ilvl w:val="4"/>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U.S. Equity: </w:t>
      </w:r>
      <w:r w:rsidR="00F668CE">
        <w:rPr>
          <w:rFonts w:ascii="Baskerville" w:hAnsi="Baskerville" w:cs="Baskerville"/>
          <w:color w:val="231F20"/>
          <w:sz w:val="20"/>
          <w:szCs w:val="20"/>
        </w:rPr>
        <w:t>Standard &amp; Poor’s 500 Index</w:t>
      </w:r>
    </w:p>
    <w:p w14:paraId="65E51ED9" w14:textId="77777777" w:rsidR="00E613CB" w:rsidRPr="008D26B7" w:rsidRDefault="00836A4A" w:rsidP="00E649FE">
      <w:pPr>
        <w:pStyle w:val="ListParagraph"/>
        <w:numPr>
          <w:ilvl w:val="1"/>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The performance of </w:t>
      </w:r>
      <w:r w:rsidR="00E649FE" w:rsidRPr="008D26B7">
        <w:rPr>
          <w:rFonts w:ascii="Baskerville" w:hAnsi="Baskerville" w:cs="Baskerville"/>
          <w:color w:val="231F20"/>
          <w:sz w:val="20"/>
          <w:szCs w:val="20"/>
        </w:rPr>
        <w:t>the Students</w:t>
      </w:r>
      <w:r w:rsidRPr="008D26B7">
        <w:rPr>
          <w:rFonts w:ascii="Baskerville" w:hAnsi="Baskerville" w:cs="Baskerville"/>
          <w:color w:val="231F20"/>
          <w:sz w:val="20"/>
          <w:szCs w:val="20"/>
        </w:rPr>
        <w:t xml:space="preserve"> will be</w:t>
      </w:r>
      <w:r w:rsidR="00865A12"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judged against the following standards:</w:t>
      </w:r>
    </w:p>
    <w:p w14:paraId="21DD53A9" w14:textId="77777777" w:rsidR="00E613CB" w:rsidRPr="008D26B7" w:rsidRDefault="00836A4A" w:rsidP="00E649FE">
      <w:pPr>
        <w:pStyle w:val="ListParagraph"/>
        <w:numPr>
          <w:ilvl w:val="2"/>
          <w:numId w:val="22"/>
        </w:numPr>
        <w:spacing w:after="2" w:line="276" w:lineRule="auto"/>
        <w:ind w:left="1620"/>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A market-based index appropriately selected or tailored to the </w:t>
      </w:r>
      <w:r w:rsidR="00E649FE" w:rsidRPr="008D26B7">
        <w:rPr>
          <w:rFonts w:ascii="Baskerville" w:hAnsi="Baskerville" w:cs="Baskerville"/>
          <w:color w:val="231F20"/>
          <w:sz w:val="20"/>
          <w:szCs w:val="20"/>
        </w:rPr>
        <w:t>Student’s</w:t>
      </w:r>
      <w:r w:rsidRPr="008D26B7">
        <w:rPr>
          <w:rFonts w:ascii="Baskerville" w:hAnsi="Baskerville" w:cs="Baskerville"/>
          <w:color w:val="231F20"/>
          <w:sz w:val="20"/>
          <w:szCs w:val="20"/>
        </w:rPr>
        <w:t xml:space="preserve"> agreed-upon investment</w:t>
      </w:r>
      <w:r w:rsidR="00865A12"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objective and the normal investmen</w:t>
      </w:r>
      <w:r w:rsidR="00E649FE" w:rsidRPr="008D26B7">
        <w:rPr>
          <w:rFonts w:ascii="Baskerville" w:hAnsi="Baskerville" w:cs="Baskerville"/>
          <w:color w:val="231F20"/>
          <w:sz w:val="20"/>
          <w:szCs w:val="20"/>
        </w:rPr>
        <w:t>t characteristics of the Student’</w:t>
      </w:r>
      <w:r w:rsidRPr="008D26B7">
        <w:rPr>
          <w:rFonts w:ascii="Baskerville" w:hAnsi="Baskerville" w:cs="Baskerville"/>
          <w:color w:val="231F20"/>
          <w:sz w:val="20"/>
          <w:szCs w:val="20"/>
        </w:rPr>
        <w:t>s portfolio.</w:t>
      </w:r>
    </w:p>
    <w:p w14:paraId="42DF324B" w14:textId="77777777" w:rsidR="00E613CB" w:rsidRPr="008D26B7" w:rsidRDefault="00836A4A" w:rsidP="00E649FE">
      <w:pPr>
        <w:pStyle w:val="ListParagraph"/>
        <w:numPr>
          <w:ilvl w:val="2"/>
          <w:numId w:val="22"/>
        </w:numPr>
        <w:spacing w:after="2" w:line="276" w:lineRule="auto"/>
        <w:ind w:left="1620"/>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The performance of other investment </w:t>
      </w:r>
      <w:r w:rsidR="00E649FE" w:rsidRPr="008D26B7">
        <w:rPr>
          <w:rFonts w:ascii="Baskerville" w:hAnsi="Baskerville" w:cs="Baskerville"/>
          <w:color w:val="231F20"/>
          <w:sz w:val="20"/>
          <w:szCs w:val="20"/>
        </w:rPr>
        <w:t xml:space="preserve">student </w:t>
      </w:r>
      <w:r w:rsidRPr="008D26B7">
        <w:rPr>
          <w:rFonts w:ascii="Baskerville" w:hAnsi="Baskerville" w:cs="Baskerville"/>
          <w:color w:val="231F20"/>
          <w:sz w:val="20"/>
          <w:szCs w:val="20"/>
        </w:rPr>
        <w:t>managers having similar investment objectives.</w:t>
      </w:r>
    </w:p>
    <w:p w14:paraId="07992E0F" w14:textId="546BF77D" w:rsidR="00E613CB" w:rsidRPr="008D26B7" w:rsidRDefault="00836A4A" w:rsidP="00E649FE">
      <w:pPr>
        <w:pStyle w:val="ListParagraph"/>
        <w:numPr>
          <w:ilvl w:val="1"/>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 xml:space="preserve">In keeping with the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’s overall long-term financial objective, the </w:t>
      </w:r>
      <w:r w:rsidR="00BD4406">
        <w:rPr>
          <w:rFonts w:ascii="Baskerville" w:hAnsi="Baskerville" w:cs="Baskerville"/>
          <w:color w:val="231F20"/>
          <w:sz w:val="20"/>
          <w:szCs w:val="20"/>
        </w:rPr>
        <w:t>Overseers</w:t>
      </w:r>
      <w:r w:rsidRPr="008D26B7">
        <w:rPr>
          <w:rFonts w:ascii="Baskerville" w:hAnsi="Baskerville" w:cs="Baskerville"/>
          <w:color w:val="231F20"/>
          <w:sz w:val="20"/>
          <w:szCs w:val="20"/>
        </w:rPr>
        <w:t xml:space="preserve"> will evaluate</w:t>
      </w:r>
      <w:r w:rsidR="00865A12" w:rsidRPr="008D26B7">
        <w:rPr>
          <w:rFonts w:ascii="Baskerville" w:hAnsi="Baskerville" w:cs="Baskerville"/>
          <w:color w:val="231F20"/>
          <w:sz w:val="20"/>
          <w:szCs w:val="20"/>
        </w:rPr>
        <w:t xml:space="preserve"> </w:t>
      </w:r>
      <w:r w:rsidR="002676D1" w:rsidRPr="008D26B7">
        <w:rPr>
          <w:rFonts w:ascii="Baskerville" w:hAnsi="Baskerville" w:cs="Baskerville"/>
          <w:color w:val="231F20"/>
          <w:sz w:val="20"/>
          <w:szCs w:val="20"/>
        </w:rPr>
        <w:t>Fund</w:t>
      </w:r>
      <w:r w:rsidRPr="008D26B7">
        <w:rPr>
          <w:rFonts w:ascii="Baskerville" w:hAnsi="Baskerville" w:cs="Baskerville"/>
          <w:color w:val="231F20"/>
          <w:sz w:val="20"/>
          <w:szCs w:val="20"/>
        </w:rPr>
        <w:t xml:space="preserve"> and </w:t>
      </w:r>
      <w:r w:rsidR="008D26B7" w:rsidRPr="008D26B7">
        <w:rPr>
          <w:rFonts w:ascii="Baskerville" w:hAnsi="Baskerville" w:cs="Baskerville"/>
          <w:color w:val="231F20"/>
          <w:sz w:val="20"/>
          <w:szCs w:val="20"/>
        </w:rPr>
        <w:t>Student’s</w:t>
      </w:r>
      <w:r w:rsidRPr="008D26B7">
        <w:rPr>
          <w:rFonts w:ascii="Baskerville" w:hAnsi="Baskerville" w:cs="Baskerville"/>
          <w:color w:val="231F20"/>
          <w:sz w:val="20"/>
          <w:szCs w:val="20"/>
        </w:rPr>
        <w:t xml:space="preserve"> performance over a suitably long-term investment horizon, generally across</w:t>
      </w:r>
      <w:r w:rsidR="00865A12"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full market cycles or, at a minimum, on a rolling five-year basis.</w:t>
      </w:r>
    </w:p>
    <w:p w14:paraId="1A889B84" w14:textId="5947B637" w:rsidR="00836A4A" w:rsidRPr="008D26B7" w:rsidRDefault="00836A4A" w:rsidP="00E649FE">
      <w:pPr>
        <w:pStyle w:val="ListParagraph"/>
        <w:numPr>
          <w:ilvl w:val="1"/>
          <w:numId w:val="22"/>
        </w:numPr>
        <w:spacing w:after="2" w:line="276" w:lineRule="auto"/>
        <w:jc w:val="both"/>
        <w:rPr>
          <w:rFonts w:ascii="Baskerville" w:hAnsi="Baskerville" w:cs="Baskerville"/>
          <w:color w:val="231F20"/>
          <w:sz w:val="20"/>
          <w:szCs w:val="20"/>
        </w:rPr>
      </w:pPr>
      <w:r w:rsidRPr="008D26B7">
        <w:rPr>
          <w:rFonts w:ascii="Baskerville" w:hAnsi="Baskerville" w:cs="Baskerville"/>
          <w:color w:val="231F20"/>
          <w:sz w:val="20"/>
          <w:szCs w:val="20"/>
        </w:rPr>
        <w:t>Investment reports shall be provided by the investment manager(s) on a (calendar) quarterly basis</w:t>
      </w:r>
      <w:r w:rsidR="00865A12"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 xml:space="preserve">or as more frequently requested by the </w:t>
      </w:r>
      <w:r w:rsidR="00BD4406">
        <w:rPr>
          <w:rFonts w:ascii="Baskerville" w:hAnsi="Baskerville" w:cs="Baskerville"/>
          <w:color w:val="231F20"/>
          <w:sz w:val="20"/>
          <w:szCs w:val="20"/>
        </w:rPr>
        <w:t>Overseers</w:t>
      </w:r>
      <w:r w:rsidR="00E649FE" w:rsidRPr="008D26B7">
        <w:rPr>
          <w:rFonts w:ascii="Baskerville" w:hAnsi="Baskerville" w:cs="Baskerville"/>
          <w:color w:val="231F20"/>
          <w:sz w:val="20"/>
          <w:szCs w:val="20"/>
        </w:rPr>
        <w:t>.</w:t>
      </w:r>
      <w:r w:rsidRPr="008D26B7">
        <w:rPr>
          <w:rFonts w:ascii="Baskerville" w:hAnsi="Baskerville" w:cs="Baskerville"/>
          <w:color w:val="231F20"/>
          <w:sz w:val="20"/>
          <w:szCs w:val="20"/>
        </w:rPr>
        <w:t xml:space="preserve"> </w:t>
      </w:r>
      <w:r w:rsidR="00E649FE" w:rsidRPr="008D26B7">
        <w:rPr>
          <w:rFonts w:ascii="Baskerville" w:hAnsi="Baskerville" w:cs="Baskerville"/>
          <w:color w:val="231F20"/>
          <w:sz w:val="20"/>
          <w:szCs w:val="20"/>
        </w:rPr>
        <w:t>The Students are</w:t>
      </w:r>
      <w:r w:rsidRPr="008D26B7">
        <w:rPr>
          <w:rFonts w:ascii="Baskerville" w:hAnsi="Baskerville" w:cs="Baskerville"/>
          <w:color w:val="231F20"/>
          <w:sz w:val="20"/>
          <w:szCs w:val="20"/>
        </w:rPr>
        <w:t xml:space="preserve"> expected to be</w:t>
      </w:r>
      <w:r w:rsidR="00865A12"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 xml:space="preserve">available to meet with the </w:t>
      </w:r>
      <w:r w:rsidR="00BD4406">
        <w:rPr>
          <w:rFonts w:ascii="Baskerville" w:hAnsi="Baskerville" w:cs="Baskerville"/>
          <w:color w:val="231F20"/>
          <w:sz w:val="20"/>
          <w:szCs w:val="20"/>
        </w:rPr>
        <w:t>Overseers</w:t>
      </w:r>
      <w:r w:rsidRPr="008D26B7">
        <w:rPr>
          <w:rFonts w:ascii="Baskerville" w:hAnsi="Baskerville" w:cs="Baskerville"/>
          <w:color w:val="231F20"/>
          <w:sz w:val="20"/>
          <w:szCs w:val="20"/>
        </w:rPr>
        <w:t xml:space="preserve"> once per year to review portfolio structure,</w:t>
      </w:r>
      <w:r w:rsidR="00370922" w:rsidRPr="008D26B7">
        <w:rPr>
          <w:rFonts w:ascii="Baskerville" w:hAnsi="Baskerville" w:cs="Baskerville"/>
          <w:color w:val="231F20"/>
          <w:sz w:val="20"/>
          <w:szCs w:val="20"/>
        </w:rPr>
        <w:t xml:space="preserve"> </w:t>
      </w:r>
      <w:r w:rsidRPr="008D26B7">
        <w:rPr>
          <w:rFonts w:ascii="Baskerville" w:hAnsi="Baskerville" w:cs="Baskerville"/>
          <w:color w:val="231F20"/>
          <w:sz w:val="20"/>
          <w:szCs w:val="20"/>
        </w:rPr>
        <w:t>strategy, and investment performance.</w:t>
      </w:r>
    </w:p>
    <w:p w14:paraId="05C2D4EC" w14:textId="77777777" w:rsidR="00D26B78" w:rsidRPr="008D26B7" w:rsidRDefault="00D26B78" w:rsidP="00E649FE">
      <w:pPr>
        <w:spacing w:after="2" w:line="276" w:lineRule="auto"/>
        <w:jc w:val="both"/>
        <w:rPr>
          <w:rFonts w:ascii="Baskerville" w:hAnsi="Baskerville" w:cs="Baskerville"/>
          <w:sz w:val="20"/>
          <w:szCs w:val="20"/>
        </w:rPr>
      </w:pPr>
    </w:p>
    <w:sectPr w:rsidR="00D26B78" w:rsidRPr="008D26B7" w:rsidSect="0042285F">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388AF9" w14:textId="77777777" w:rsidR="008F1C82" w:rsidRDefault="008F1C82" w:rsidP="000A22D3">
      <w:pPr>
        <w:spacing w:after="0"/>
      </w:pPr>
      <w:r>
        <w:separator/>
      </w:r>
    </w:p>
  </w:endnote>
  <w:endnote w:type="continuationSeparator" w:id="0">
    <w:p w14:paraId="62B18D32" w14:textId="77777777" w:rsidR="008F1C82" w:rsidRDefault="008F1C82" w:rsidP="000A22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askerville">
    <w:panose1 w:val="020205020704010203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07C5C" w14:textId="77777777" w:rsidR="008F1C82" w:rsidRDefault="008F1C82" w:rsidP="000A22D3">
      <w:pPr>
        <w:spacing w:after="0"/>
      </w:pPr>
      <w:r>
        <w:separator/>
      </w:r>
    </w:p>
  </w:footnote>
  <w:footnote w:type="continuationSeparator" w:id="0">
    <w:p w14:paraId="38909018" w14:textId="77777777" w:rsidR="008F1C82" w:rsidRDefault="008F1C82" w:rsidP="000A22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D3836" w14:textId="383009AC" w:rsidR="008F1C82" w:rsidRPr="008D26B7" w:rsidRDefault="008F1C82" w:rsidP="000A22D3">
    <w:pPr>
      <w:pStyle w:val="Header"/>
      <w:tabs>
        <w:tab w:val="clear" w:pos="8640"/>
        <w:tab w:val="right" w:pos="9360"/>
      </w:tabs>
      <w:rPr>
        <w:rFonts w:ascii="Baskerville" w:hAnsi="Baskerville" w:cs="Baskerville"/>
        <w:b/>
        <w:i/>
        <w:sz w:val="22"/>
      </w:rPr>
    </w:pPr>
    <w:r w:rsidRPr="008D26B7">
      <w:rPr>
        <w:rFonts w:ascii="Baskerville" w:hAnsi="Baskerville" w:cs="Baskerville"/>
        <w:b/>
        <w:i/>
        <w:sz w:val="22"/>
      </w:rPr>
      <w:t>Seattle Pacific University Student Investment Fund</w:t>
    </w:r>
    <w:r w:rsidRPr="008D26B7">
      <w:rPr>
        <w:rFonts w:ascii="Baskerville" w:hAnsi="Baskerville" w:cs="Baskerville"/>
        <w:b/>
        <w:i/>
        <w:sz w:val="22"/>
      </w:rPr>
      <w:tab/>
      <w:t>Investment Policy Statement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827B9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70D2E5D"/>
    <w:multiLevelType w:val="hybridMultilevel"/>
    <w:tmpl w:val="5DF03F0C"/>
    <w:lvl w:ilvl="0" w:tplc="2A6E0AEC">
      <w:start w:val="1"/>
      <w:numFmt w:val="upperRoman"/>
      <w:lvlText w:val="%1."/>
      <w:lvlJc w:val="right"/>
      <w:pPr>
        <w:ind w:left="720" w:hanging="360"/>
      </w:pPr>
      <w:rPr>
        <w:sz w:val="20"/>
      </w:rPr>
    </w:lvl>
    <w:lvl w:ilvl="1" w:tplc="10F8651A">
      <w:start w:val="1"/>
      <w:numFmt w:val="lowerLetter"/>
      <w:lvlText w:val="%2."/>
      <w:lvlJc w:val="left"/>
      <w:pPr>
        <w:ind w:left="1440" w:hanging="360"/>
      </w:pPr>
      <w:rPr>
        <w:sz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D18D3"/>
    <w:multiLevelType w:val="hybridMultilevel"/>
    <w:tmpl w:val="1EA61116"/>
    <w:lvl w:ilvl="0" w:tplc="5388F62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A6D93"/>
    <w:multiLevelType w:val="hybridMultilevel"/>
    <w:tmpl w:val="88E4FFE0"/>
    <w:lvl w:ilvl="0" w:tplc="04090015">
      <w:start w:val="1"/>
      <w:numFmt w:val="upperLetter"/>
      <w:lvlText w:val="%1."/>
      <w:lvlJc w:val="left"/>
      <w:pPr>
        <w:ind w:left="360" w:hanging="360"/>
      </w:pPr>
    </w:lvl>
    <w:lvl w:ilvl="1" w:tplc="DCE60B1E">
      <w:start w:val="1"/>
      <w:numFmt w:val="decimal"/>
      <w:lvlText w:val="%2."/>
      <w:lvlJc w:val="left"/>
      <w:pPr>
        <w:ind w:left="1080" w:hanging="360"/>
      </w:pPr>
      <w:rPr>
        <w:rFonts w:hint="default"/>
      </w:rPr>
    </w:lvl>
    <w:lvl w:ilvl="2" w:tplc="04090019">
      <w:start w:val="1"/>
      <w:numFmt w:val="lowerLetter"/>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05133AD"/>
    <w:multiLevelType w:val="multilevel"/>
    <w:tmpl w:val="DF346B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BE14678"/>
    <w:multiLevelType w:val="hybridMultilevel"/>
    <w:tmpl w:val="0BD8C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BB2CC6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7F3993"/>
    <w:multiLevelType w:val="hybridMultilevel"/>
    <w:tmpl w:val="F1FAC9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241E9"/>
    <w:multiLevelType w:val="multilevel"/>
    <w:tmpl w:val="88E4FFE0"/>
    <w:lvl w:ilvl="0">
      <w:start w:val="1"/>
      <w:numFmt w:val="upperLetter"/>
      <w:lvlText w:val="%1."/>
      <w:lvlJc w:val="left"/>
      <w:pPr>
        <w:ind w:left="360" w:hanging="360"/>
      </w:pPr>
    </w:lvl>
    <w:lvl w:ilvl="1">
      <w:start w:val="1"/>
      <w:numFmt w:val="decimal"/>
      <w:lvlText w:val="%2."/>
      <w:lvlJc w:val="left"/>
      <w:pPr>
        <w:ind w:left="1080" w:hanging="360"/>
      </w:pPr>
      <w:rPr>
        <w:rFonts w:hint="default"/>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2BF3B2E"/>
    <w:multiLevelType w:val="hybridMultilevel"/>
    <w:tmpl w:val="E8443C58"/>
    <w:lvl w:ilvl="0" w:tplc="0409000F">
      <w:start w:val="1"/>
      <w:numFmt w:val="decimal"/>
      <w:lvlText w:val="%1."/>
      <w:lvlJc w:val="left"/>
      <w:pPr>
        <w:ind w:left="720" w:hanging="360"/>
      </w:pPr>
    </w:lvl>
    <w:lvl w:ilvl="1" w:tplc="5D74B04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B47464"/>
    <w:multiLevelType w:val="hybridMultilevel"/>
    <w:tmpl w:val="E2126C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22EC0"/>
    <w:multiLevelType w:val="hybridMultilevel"/>
    <w:tmpl w:val="9A7E5B94"/>
    <w:lvl w:ilvl="0" w:tplc="04090015">
      <w:start w:val="1"/>
      <w:numFmt w:val="upperLetter"/>
      <w:lvlText w:val="%1."/>
      <w:lvlJc w:val="left"/>
      <w:pPr>
        <w:ind w:left="1080" w:hanging="360"/>
      </w:pPr>
    </w:lvl>
    <w:lvl w:ilvl="1" w:tplc="DCE60B1E">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CC3C75"/>
    <w:multiLevelType w:val="hybridMultilevel"/>
    <w:tmpl w:val="1DDA76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C29B4"/>
    <w:multiLevelType w:val="hybridMultilevel"/>
    <w:tmpl w:val="0DDE43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F17541"/>
    <w:multiLevelType w:val="hybridMultilevel"/>
    <w:tmpl w:val="05F6F970"/>
    <w:lvl w:ilvl="0" w:tplc="04090015">
      <w:start w:val="1"/>
      <w:numFmt w:val="upperLetter"/>
      <w:lvlText w:val="%1."/>
      <w:lvlJc w:val="left"/>
      <w:pPr>
        <w:ind w:left="720" w:hanging="360"/>
      </w:pPr>
    </w:lvl>
    <w:lvl w:ilvl="1" w:tplc="AE36D9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C64860"/>
    <w:multiLevelType w:val="hybridMultilevel"/>
    <w:tmpl w:val="9A96E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3758C5"/>
    <w:multiLevelType w:val="hybridMultilevel"/>
    <w:tmpl w:val="9F866A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1A5386"/>
    <w:multiLevelType w:val="hybridMultilevel"/>
    <w:tmpl w:val="E6060152"/>
    <w:lvl w:ilvl="0" w:tplc="04090019">
      <w:start w:val="1"/>
      <w:numFmt w:val="lowerLetter"/>
      <w:lvlText w:val="%1."/>
      <w:lvlJc w:val="left"/>
      <w:pPr>
        <w:ind w:left="171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nsid w:val="4EA542A1"/>
    <w:multiLevelType w:val="multilevel"/>
    <w:tmpl w:val="DF346B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1211270"/>
    <w:multiLevelType w:val="hybridMultilevel"/>
    <w:tmpl w:val="95D82E4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64277B"/>
    <w:multiLevelType w:val="hybridMultilevel"/>
    <w:tmpl w:val="8AB83382"/>
    <w:lvl w:ilvl="0" w:tplc="DCE60B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A6E09F5"/>
    <w:multiLevelType w:val="multilevel"/>
    <w:tmpl w:val="DF346BC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C4510F1"/>
    <w:multiLevelType w:val="hybridMultilevel"/>
    <w:tmpl w:val="94A4D2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52302D"/>
    <w:multiLevelType w:val="hybridMultilevel"/>
    <w:tmpl w:val="D916A0CC"/>
    <w:lvl w:ilvl="0" w:tplc="04090013">
      <w:start w:val="1"/>
      <w:numFmt w:val="upperRoman"/>
      <w:lvlText w:val="%1."/>
      <w:lvlJc w:val="right"/>
      <w:pPr>
        <w:ind w:left="720" w:hanging="360"/>
      </w:pPr>
    </w:lvl>
    <w:lvl w:ilvl="1" w:tplc="AE36D96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87AD4"/>
    <w:multiLevelType w:val="hybridMultilevel"/>
    <w:tmpl w:val="CE5E75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8370C0"/>
    <w:multiLevelType w:val="hybridMultilevel"/>
    <w:tmpl w:val="C3B48386"/>
    <w:lvl w:ilvl="0" w:tplc="04090015">
      <w:start w:val="1"/>
      <w:numFmt w:val="upperLetter"/>
      <w:lvlText w:val="%1."/>
      <w:lvlJc w:val="left"/>
      <w:pPr>
        <w:ind w:left="720" w:hanging="360"/>
      </w:pPr>
    </w:lvl>
    <w:lvl w:ilvl="1" w:tplc="DCE60B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5D1C28"/>
    <w:multiLevelType w:val="hybridMultilevel"/>
    <w:tmpl w:val="DF346BC8"/>
    <w:lvl w:ilvl="0" w:tplc="04090015">
      <w:start w:val="1"/>
      <w:numFmt w:val="upperLetter"/>
      <w:lvlText w:val="%1."/>
      <w:lvlJc w:val="left"/>
      <w:pPr>
        <w:ind w:left="360" w:hanging="360"/>
      </w:pPr>
      <w:rPr>
        <w:rFonts w:hint="default"/>
      </w:rPr>
    </w:lvl>
    <w:lvl w:ilvl="1" w:tplc="43E62EA6">
      <w:start w:val="1"/>
      <w:numFmt w:val="decimal"/>
      <w:lvlText w:val="%2."/>
      <w:lvlJc w:val="left"/>
      <w:pPr>
        <w:ind w:left="1080" w:hanging="360"/>
      </w:pPr>
      <w:rPr>
        <w:rFonts w:hint="default"/>
        <w:sz w:val="2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23"/>
  </w:num>
  <w:num w:numId="4">
    <w:abstractNumId w:val="13"/>
  </w:num>
  <w:num w:numId="5">
    <w:abstractNumId w:val="15"/>
  </w:num>
  <w:num w:numId="6">
    <w:abstractNumId w:val="11"/>
  </w:num>
  <w:num w:numId="7">
    <w:abstractNumId w:val="25"/>
  </w:num>
  <w:num w:numId="8">
    <w:abstractNumId w:val="8"/>
  </w:num>
  <w:num w:numId="9">
    <w:abstractNumId w:val="5"/>
  </w:num>
  <w:num w:numId="10">
    <w:abstractNumId w:val="24"/>
  </w:num>
  <w:num w:numId="11">
    <w:abstractNumId w:val="18"/>
  </w:num>
  <w:num w:numId="12">
    <w:abstractNumId w:val="16"/>
  </w:num>
  <w:num w:numId="13">
    <w:abstractNumId w:val="2"/>
  </w:num>
  <w:num w:numId="14">
    <w:abstractNumId w:val="12"/>
  </w:num>
  <w:num w:numId="15">
    <w:abstractNumId w:val="6"/>
  </w:num>
  <w:num w:numId="16">
    <w:abstractNumId w:val="3"/>
  </w:num>
  <w:num w:numId="17">
    <w:abstractNumId w:val="7"/>
  </w:num>
  <w:num w:numId="18">
    <w:abstractNumId w:val="4"/>
  </w:num>
  <w:num w:numId="19">
    <w:abstractNumId w:val="21"/>
  </w:num>
  <w:num w:numId="20">
    <w:abstractNumId w:val="17"/>
  </w:num>
  <w:num w:numId="21">
    <w:abstractNumId w:val="9"/>
  </w:num>
  <w:num w:numId="22">
    <w:abstractNumId w:val="1"/>
  </w:num>
  <w:num w:numId="23">
    <w:abstractNumId w:val="22"/>
  </w:num>
  <w:num w:numId="24">
    <w:abstractNumId w:val="20"/>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A4A"/>
    <w:rsid w:val="00033CA3"/>
    <w:rsid w:val="000A22D3"/>
    <w:rsid w:val="00133BCF"/>
    <w:rsid w:val="00133CC6"/>
    <w:rsid w:val="001C59AF"/>
    <w:rsid w:val="002659BD"/>
    <w:rsid w:val="002676D1"/>
    <w:rsid w:val="002D5E7F"/>
    <w:rsid w:val="00354389"/>
    <w:rsid w:val="00370922"/>
    <w:rsid w:val="0042285F"/>
    <w:rsid w:val="004B447C"/>
    <w:rsid w:val="005457E0"/>
    <w:rsid w:val="005C7449"/>
    <w:rsid w:val="005D1E22"/>
    <w:rsid w:val="006D46CF"/>
    <w:rsid w:val="00704E63"/>
    <w:rsid w:val="00757B4A"/>
    <w:rsid w:val="00764E79"/>
    <w:rsid w:val="007657BF"/>
    <w:rsid w:val="008050A7"/>
    <w:rsid w:val="008154F0"/>
    <w:rsid w:val="00817F93"/>
    <w:rsid w:val="00836A4A"/>
    <w:rsid w:val="00852596"/>
    <w:rsid w:val="00865A12"/>
    <w:rsid w:val="008D26B7"/>
    <w:rsid w:val="008F1C82"/>
    <w:rsid w:val="00987C3B"/>
    <w:rsid w:val="00A01F49"/>
    <w:rsid w:val="00A537B0"/>
    <w:rsid w:val="00A933FF"/>
    <w:rsid w:val="00B862E5"/>
    <w:rsid w:val="00BD3833"/>
    <w:rsid w:val="00BD4406"/>
    <w:rsid w:val="00CB4264"/>
    <w:rsid w:val="00D26B78"/>
    <w:rsid w:val="00D41E50"/>
    <w:rsid w:val="00D90CA6"/>
    <w:rsid w:val="00DE5B73"/>
    <w:rsid w:val="00E106AB"/>
    <w:rsid w:val="00E613CB"/>
    <w:rsid w:val="00E649FE"/>
    <w:rsid w:val="00F00D94"/>
    <w:rsid w:val="00F34214"/>
    <w:rsid w:val="00F668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CC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6D46CF"/>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semiHidden/>
    <w:unhideWhenUsed/>
    <w:rsid w:val="006D46CF"/>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semiHidden/>
    <w:unhideWhenUsed/>
    <w:rsid w:val="006D46CF"/>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semiHidden/>
    <w:unhideWhenUsed/>
    <w:rsid w:val="006D46CF"/>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semiHidden/>
    <w:unhideWhenUsed/>
    <w:rsid w:val="006D46CF"/>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semiHidden/>
    <w:unhideWhenUsed/>
    <w:rsid w:val="006D46CF"/>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semiHidden/>
    <w:unhideWhenUsed/>
    <w:rsid w:val="006D46CF"/>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semiHidden/>
    <w:unhideWhenUsed/>
    <w:rsid w:val="006D46CF"/>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semiHidden/>
    <w:unhideWhenUsed/>
    <w:rsid w:val="006D46CF"/>
    <w:pPr>
      <w:keepNext/>
      <w:numPr>
        <w:ilvl w:val="8"/>
        <w:numId w:val="1"/>
      </w:numPr>
      <w:spacing w:after="0"/>
      <w:contextualSpacing/>
      <w:outlineLvl w:val="8"/>
    </w:pPr>
    <w:rPr>
      <w:rFonts w:ascii="Verdana" w:eastAsia="ＭＳ ゴシック" w:hAnsi="Verdana"/>
    </w:rPr>
  </w:style>
  <w:style w:type="paragraph" w:styleId="ListParagraph">
    <w:name w:val="List Paragraph"/>
    <w:basedOn w:val="Normal"/>
    <w:uiPriority w:val="34"/>
    <w:qFormat/>
    <w:rsid w:val="00836A4A"/>
    <w:pPr>
      <w:ind w:left="720"/>
      <w:contextualSpacing/>
    </w:pPr>
  </w:style>
  <w:style w:type="table" w:styleId="TableGrid">
    <w:name w:val="Table Grid"/>
    <w:basedOn w:val="TableNormal"/>
    <w:uiPriority w:val="59"/>
    <w:rsid w:val="00836A4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22D3"/>
    <w:pPr>
      <w:tabs>
        <w:tab w:val="center" w:pos="4320"/>
        <w:tab w:val="right" w:pos="8640"/>
      </w:tabs>
      <w:spacing w:after="0"/>
    </w:pPr>
  </w:style>
  <w:style w:type="character" w:customStyle="1" w:styleId="HeaderChar">
    <w:name w:val="Header Char"/>
    <w:basedOn w:val="DefaultParagraphFont"/>
    <w:link w:val="Header"/>
    <w:uiPriority w:val="99"/>
    <w:rsid w:val="000A22D3"/>
  </w:style>
  <w:style w:type="paragraph" w:styleId="Footer">
    <w:name w:val="footer"/>
    <w:basedOn w:val="Normal"/>
    <w:link w:val="FooterChar"/>
    <w:uiPriority w:val="99"/>
    <w:unhideWhenUsed/>
    <w:rsid w:val="000A22D3"/>
    <w:pPr>
      <w:tabs>
        <w:tab w:val="center" w:pos="4320"/>
        <w:tab w:val="right" w:pos="8640"/>
      </w:tabs>
      <w:spacing w:after="0"/>
    </w:pPr>
  </w:style>
  <w:style w:type="character" w:customStyle="1" w:styleId="FooterChar">
    <w:name w:val="Footer Char"/>
    <w:basedOn w:val="DefaultParagraphFont"/>
    <w:link w:val="Footer"/>
    <w:uiPriority w:val="99"/>
    <w:rsid w:val="000A22D3"/>
  </w:style>
  <w:style w:type="character" w:styleId="CommentReference">
    <w:name w:val="annotation reference"/>
    <w:basedOn w:val="DefaultParagraphFont"/>
    <w:uiPriority w:val="99"/>
    <w:semiHidden/>
    <w:unhideWhenUsed/>
    <w:rsid w:val="00D41E50"/>
    <w:rPr>
      <w:sz w:val="18"/>
      <w:szCs w:val="18"/>
    </w:rPr>
  </w:style>
  <w:style w:type="paragraph" w:styleId="CommentText">
    <w:name w:val="annotation text"/>
    <w:basedOn w:val="Normal"/>
    <w:link w:val="CommentTextChar"/>
    <w:uiPriority w:val="99"/>
    <w:semiHidden/>
    <w:unhideWhenUsed/>
    <w:rsid w:val="00D41E50"/>
  </w:style>
  <w:style w:type="character" w:customStyle="1" w:styleId="CommentTextChar">
    <w:name w:val="Comment Text Char"/>
    <w:basedOn w:val="DefaultParagraphFont"/>
    <w:link w:val="CommentText"/>
    <w:uiPriority w:val="99"/>
    <w:semiHidden/>
    <w:rsid w:val="00D41E50"/>
  </w:style>
  <w:style w:type="paragraph" w:styleId="CommentSubject">
    <w:name w:val="annotation subject"/>
    <w:basedOn w:val="CommentText"/>
    <w:next w:val="CommentText"/>
    <w:link w:val="CommentSubjectChar"/>
    <w:uiPriority w:val="99"/>
    <w:semiHidden/>
    <w:unhideWhenUsed/>
    <w:rsid w:val="00D41E50"/>
    <w:rPr>
      <w:b/>
      <w:bCs/>
      <w:sz w:val="20"/>
      <w:szCs w:val="20"/>
    </w:rPr>
  </w:style>
  <w:style w:type="character" w:customStyle="1" w:styleId="CommentSubjectChar">
    <w:name w:val="Comment Subject Char"/>
    <w:basedOn w:val="CommentTextChar"/>
    <w:link w:val="CommentSubject"/>
    <w:uiPriority w:val="99"/>
    <w:semiHidden/>
    <w:rsid w:val="00D41E50"/>
    <w:rPr>
      <w:b/>
      <w:bCs/>
      <w:sz w:val="20"/>
      <w:szCs w:val="20"/>
    </w:rPr>
  </w:style>
  <w:style w:type="paragraph" w:styleId="BalloonText">
    <w:name w:val="Balloon Text"/>
    <w:basedOn w:val="Normal"/>
    <w:link w:val="BalloonTextChar"/>
    <w:uiPriority w:val="99"/>
    <w:semiHidden/>
    <w:unhideWhenUsed/>
    <w:rsid w:val="00D41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E5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semiHidden/>
    <w:unhideWhenUsed/>
    <w:rsid w:val="006D46CF"/>
    <w:pPr>
      <w:keepNext/>
      <w:numPr>
        <w:numId w:val="1"/>
      </w:numPr>
      <w:spacing w:after="0"/>
      <w:contextualSpacing/>
      <w:outlineLvl w:val="0"/>
    </w:pPr>
    <w:rPr>
      <w:rFonts w:ascii="Verdana" w:eastAsia="ＭＳ ゴシック" w:hAnsi="Verdana"/>
    </w:rPr>
  </w:style>
  <w:style w:type="paragraph" w:styleId="NoteLevel2">
    <w:name w:val="Note Level 2"/>
    <w:basedOn w:val="Normal"/>
    <w:uiPriority w:val="99"/>
    <w:semiHidden/>
    <w:unhideWhenUsed/>
    <w:rsid w:val="006D46CF"/>
    <w:pPr>
      <w:keepNext/>
      <w:numPr>
        <w:ilvl w:val="1"/>
        <w:numId w:val="1"/>
      </w:numPr>
      <w:spacing w:after="0"/>
      <w:contextualSpacing/>
      <w:outlineLvl w:val="1"/>
    </w:pPr>
    <w:rPr>
      <w:rFonts w:ascii="Verdana" w:eastAsia="ＭＳ ゴシック" w:hAnsi="Verdana"/>
    </w:rPr>
  </w:style>
  <w:style w:type="paragraph" w:styleId="NoteLevel3">
    <w:name w:val="Note Level 3"/>
    <w:basedOn w:val="Normal"/>
    <w:uiPriority w:val="99"/>
    <w:semiHidden/>
    <w:unhideWhenUsed/>
    <w:rsid w:val="006D46CF"/>
    <w:pPr>
      <w:keepNext/>
      <w:numPr>
        <w:ilvl w:val="2"/>
        <w:numId w:val="1"/>
      </w:numPr>
      <w:spacing w:after="0"/>
      <w:contextualSpacing/>
      <w:outlineLvl w:val="2"/>
    </w:pPr>
    <w:rPr>
      <w:rFonts w:ascii="Verdana" w:eastAsia="ＭＳ ゴシック" w:hAnsi="Verdana"/>
    </w:rPr>
  </w:style>
  <w:style w:type="paragraph" w:styleId="NoteLevel4">
    <w:name w:val="Note Level 4"/>
    <w:basedOn w:val="Normal"/>
    <w:uiPriority w:val="99"/>
    <w:semiHidden/>
    <w:unhideWhenUsed/>
    <w:rsid w:val="006D46CF"/>
    <w:pPr>
      <w:keepNext/>
      <w:numPr>
        <w:ilvl w:val="3"/>
        <w:numId w:val="1"/>
      </w:numPr>
      <w:spacing w:after="0"/>
      <w:contextualSpacing/>
      <w:outlineLvl w:val="3"/>
    </w:pPr>
    <w:rPr>
      <w:rFonts w:ascii="Verdana" w:eastAsia="ＭＳ ゴシック" w:hAnsi="Verdana"/>
    </w:rPr>
  </w:style>
  <w:style w:type="paragraph" w:styleId="NoteLevel5">
    <w:name w:val="Note Level 5"/>
    <w:basedOn w:val="Normal"/>
    <w:uiPriority w:val="99"/>
    <w:semiHidden/>
    <w:unhideWhenUsed/>
    <w:rsid w:val="006D46CF"/>
    <w:pPr>
      <w:keepNext/>
      <w:numPr>
        <w:ilvl w:val="4"/>
        <w:numId w:val="1"/>
      </w:numPr>
      <w:spacing w:after="0"/>
      <w:contextualSpacing/>
      <w:outlineLvl w:val="4"/>
    </w:pPr>
    <w:rPr>
      <w:rFonts w:ascii="Verdana" w:eastAsia="ＭＳ ゴシック" w:hAnsi="Verdana"/>
    </w:rPr>
  </w:style>
  <w:style w:type="paragraph" w:styleId="NoteLevel6">
    <w:name w:val="Note Level 6"/>
    <w:basedOn w:val="Normal"/>
    <w:uiPriority w:val="99"/>
    <w:semiHidden/>
    <w:unhideWhenUsed/>
    <w:rsid w:val="006D46CF"/>
    <w:pPr>
      <w:keepNext/>
      <w:numPr>
        <w:ilvl w:val="5"/>
        <w:numId w:val="1"/>
      </w:numPr>
      <w:spacing w:after="0"/>
      <w:contextualSpacing/>
      <w:outlineLvl w:val="5"/>
    </w:pPr>
    <w:rPr>
      <w:rFonts w:ascii="Verdana" w:eastAsia="ＭＳ ゴシック" w:hAnsi="Verdana"/>
    </w:rPr>
  </w:style>
  <w:style w:type="paragraph" w:styleId="NoteLevel7">
    <w:name w:val="Note Level 7"/>
    <w:basedOn w:val="Normal"/>
    <w:uiPriority w:val="99"/>
    <w:semiHidden/>
    <w:unhideWhenUsed/>
    <w:rsid w:val="006D46CF"/>
    <w:pPr>
      <w:keepNext/>
      <w:numPr>
        <w:ilvl w:val="6"/>
        <w:numId w:val="1"/>
      </w:numPr>
      <w:spacing w:after="0"/>
      <w:contextualSpacing/>
      <w:outlineLvl w:val="6"/>
    </w:pPr>
    <w:rPr>
      <w:rFonts w:ascii="Verdana" w:eastAsia="ＭＳ ゴシック" w:hAnsi="Verdana"/>
    </w:rPr>
  </w:style>
  <w:style w:type="paragraph" w:styleId="NoteLevel8">
    <w:name w:val="Note Level 8"/>
    <w:basedOn w:val="Normal"/>
    <w:uiPriority w:val="99"/>
    <w:semiHidden/>
    <w:unhideWhenUsed/>
    <w:rsid w:val="006D46CF"/>
    <w:pPr>
      <w:keepNext/>
      <w:numPr>
        <w:ilvl w:val="7"/>
        <w:numId w:val="1"/>
      </w:numPr>
      <w:spacing w:after="0"/>
      <w:contextualSpacing/>
      <w:outlineLvl w:val="7"/>
    </w:pPr>
    <w:rPr>
      <w:rFonts w:ascii="Verdana" w:eastAsia="ＭＳ ゴシック" w:hAnsi="Verdana"/>
    </w:rPr>
  </w:style>
  <w:style w:type="paragraph" w:styleId="NoteLevel9">
    <w:name w:val="Note Level 9"/>
    <w:basedOn w:val="Normal"/>
    <w:uiPriority w:val="99"/>
    <w:semiHidden/>
    <w:unhideWhenUsed/>
    <w:rsid w:val="006D46CF"/>
    <w:pPr>
      <w:keepNext/>
      <w:numPr>
        <w:ilvl w:val="8"/>
        <w:numId w:val="1"/>
      </w:numPr>
      <w:spacing w:after="0"/>
      <w:contextualSpacing/>
      <w:outlineLvl w:val="8"/>
    </w:pPr>
    <w:rPr>
      <w:rFonts w:ascii="Verdana" w:eastAsia="ＭＳ ゴシック" w:hAnsi="Verdana"/>
    </w:rPr>
  </w:style>
  <w:style w:type="paragraph" w:styleId="ListParagraph">
    <w:name w:val="List Paragraph"/>
    <w:basedOn w:val="Normal"/>
    <w:uiPriority w:val="34"/>
    <w:qFormat/>
    <w:rsid w:val="00836A4A"/>
    <w:pPr>
      <w:ind w:left="720"/>
      <w:contextualSpacing/>
    </w:pPr>
  </w:style>
  <w:style w:type="table" w:styleId="TableGrid">
    <w:name w:val="Table Grid"/>
    <w:basedOn w:val="TableNormal"/>
    <w:uiPriority w:val="59"/>
    <w:rsid w:val="00836A4A"/>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22D3"/>
    <w:pPr>
      <w:tabs>
        <w:tab w:val="center" w:pos="4320"/>
        <w:tab w:val="right" w:pos="8640"/>
      </w:tabs>
      <w:spacing w:after="0"/>
    </w:pPr>
  </w:style>
  <w:style w:type="character" w:customStyle="1" w:styleId="HeaderChar">
    <w:name w:val="Header Char"/>
    <w:basedOn w:val="DefaultParagraphFont"/>
    <w:link w:val="Header"/>
    <w:uiPriority w:val="99"/>
    <w:rsid w:val="000A22D3"/>
  </w:style>
  <w:style w:type="paragraph" w:styleId="Footer">
    <w:name w:val="footer"/>
    <w:basedOn w:val="Normal"/>
    <w:link w:val="FooterChar"/>
    <w:uiPriority w:val="99"/>
    <w:unhideWhenUsed/>
    <w:rsid w:val="000A22D3"/>
    <w:pPr>
      <w:tabs>
        <w:tab w:val="center" w:pos="4320"/>
        <w:tab w:val="right" w:pos="8640"/>
      </w:tabs>
      <w:spacing w:after="0"/>
    </w:pPr>
  </w:style>
  <w:style w:type="character" w:customStyle="1" w:styleId="FooterChar">
    <w:name w:val="Footer Char"/>
    <w:basedOn w:val="DefaultParagraphFont"/>
    <w:link w:val="Footer"/>
    <w:uiPriority w:val="99"/>
    <w:rsid w:val="000A22D3"/>
  </w:style>
  <w:style w:type="character" w:styleId="CommentReference">
    <w:name w:val="annotation reference"/>
    <w:basedOn w:val="DefaultParagraphFont"/>
    <w:uiPriority w:val="99"/>
    <w:semiHidden/>
    <w:unhideWhenUsed/>
    <w:rsid w:val="00D41E50"/>
    <w:rPr>
      <w:sz w:val="18"/>
      <w:szCs w:val="18"/>
    </w:rPr>
  </w:style>
  <w:style w:type="paragraph" w:styleId="CommentText">
    <w:name w:val="annotation text"/>
    <w:basedOn w:val="Normal"/>
    <w:link w:val="CommentTextChar"/>
    <w:uiPriority w:val="99"/>
    <w:semiHidden/>
    <w:unhideWhenUsed/>
    <w:rsid w:val="00D41E50"/>
  </w:style>
  <w:style w:type="character" w:customStyle="1" w:styleId="CommentTextChar">
    <w:name w:val="Comment Text Char"/>
    <w:basedOn w:val="DefaultParagraphFont"/>
    <w:link w:val="CommentText"/>
    <w:uiPriority w:val="99"/>
    <w:semiHidden/>
    <w:rsid w:val="00D41E50"/>
  </w:style>
  <w:style w:type="paragraph" w:styleId="CommentSubject">
    <w:name w:val="annotation subject"/>
    <w:basedOn w:val="CommentText"/>
    <w:next w:val="CommentText"/>
    <w:link w:val="CommentSubjectChar"/>
    <w:uiPriority w:val="99"/>
    <w:semiHidden/>
    <w:unhideWhenUsed/>
    <w:rsid w:val="00D41E50"/>
    <w:rPr>
      <w:b/>
      <w:bCs/>
      <w:sz w:val="20"/>
      <w:szCs w:val="20"/>
    </w:rPr>
  </w:style>
  <w:style w:type="character" w:customStyle="1" w:styleId="CommentSubjectChar">
    <w:name w:val="Comment Subject Char"/>
    <w:basedOn w:val="CommentTextChar"/>
    <w:link w:val="CommentSubject"/>
    <w:uiPriority w:val="99"/>
    <w:semiHidden/>
    <w:rsid w:val="00D41E50"/>
    <w:rPr>
      <w:b/>
      <w:bCs/>
      <w:sz w:val="20"/>
      <w:szCs w:val="20"/>
    </w:rPr>
  </w:style>
  <w:style w:type="paragraph" w:styleId="BalloonText">
    <w:name w:val="Balloon Text"/>
    <w:basedOn w:val="Normal"/>
    <w:link w:val="BalloonTextChar"/>
    <w:uiPriority w:val="99"/>
    <w:semiHidden/>
    <w:unhideWhenUsed/>
    <w:rsid w:val="00D41E5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1E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2A160F6-BD1F-5E47-92DA-BA8A5F65E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1296</Words>
  <Characters>7390</Characters>
  <Application>Microsoft Macintosh Word</Application>
  <DocSecurity>0</DocSecurity>
  <Lines>61</Lines>
  <Paragraphs>17</Paragraphs>
  <ScaleCrop>false</ScaleCrop>
  <Company>Seattle Pacific University</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Cannariato</dc:creator>
  <cp:keywords/>
  <dc:description/>
  <cp:lastModifiedBy>Nick Johnson</cp:lastModifiedBy>
  <cp:revision>5</cp:revision>
  <cp:lastPrinted>2011-10-03T01:59:00Z</cp:lastPrinted>
  <dcterms:created xsi:type="dcterms:W3CDTF">2013-02-14T05:20:00Z</dcterms:created>
  <dcterms:modified xsi:type="dcterms:W3CDTF">2013-02-21T03:20:00Z</dcterms:modified>
</cp:coreProperties>
</file>